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DD417" w14:textId="3539CB9A" w:rsidR="002C51BC" w:rsidRDefault="00FE10AD" w:rsidP="002C51BC">
      <w:pPr>
        <w:pStyle w:val="DataField11pt-Single"/>
        <w:rPr>
          <w:rStyle w:val="Strong"/>
        </w:rPr>
      </w:pPr>
      <w:r>
        <w:rPr>
          <w:rStyle w:val="Strong"/>
        </w:rPr>
        <w:br/>
      </w:r>
    </w:p>
    <w:p w14:paraId="763F8DCD" w14:textId="77777777" w:rsidR="00493FA0" w:rsidRDefault="00493FA0" w:rsidP="00493FA0">
      <w:pPr>
        <w:pStyle w:val="OMBInfo"/>
      </w:pPr>
      <w:r>
        <w:t>OMB No. 0925-0001 and 0925-0002 (Rev. 09/17 Approved Through 03/31/2020)</w:t>
      </w:r>
    </w:p>
    <w:p w14:paraId="7F2FFB6A" w14:textId="77777777" w:rsidR="00493FA0" w:rsidRPr="006E6FB5" w:rsidRDefault="00493FA0" w:rsidP="00493FA0">
      <w:pPr>
        <w:pStyle w:val="Title"/>
      </w:pPr>
      <w:r w:rsidRPr="006E6FB5">
        <w:t>BIOGRAPHICAL SKETCH</w:t>
      </w:r>
    </w:p>
    <w:p w14:paraId="6ECCFAC8" w14:textId="77777777" w:rsidR="00493FA0" w:rsidRPr="00F7284D" w:rsidRDefault="00493FA0" w:rsidP="00493FA0">
      <w:pPr>
        <w:pStyle w:val="HeadingNote"/>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48BDAC70" w14:textId="63C2757A" w:rsidR="00493FA0" w:rsidRPr="00D3779E" w:rsidRDefault="00493FA0" w:rsidP="00493FA0">
      <w:pPr>
        <w:pStyle w:val="FormFieldCaption1"/>
        <w:pBdr>
          <w:between w:val="single" w:sz="4" w:space="1" w:color="auto"/>
        </w:pBdr>
        <w:rPr>
          <w:sz w:val="32"/>
        </w:rPr>
      </w:pPr>
      <w:r w:rsidRPr="00D3779E">
        <w:rPr>
          <w:sz w:val="22"/>
        </w:rPr>
        <w:t>NAME:</w:t>
      </w:r>
      <w:r>
        <w:rPr>
          <w:sz w:val="22"/>
        </w:rPr>
        <w:t xml:space="preserve"> Anthony A Hyman</w:t>
      </w:r>
    </w:p>
    <w:p w14:paraId="2F8D202D" w14:textId="77777777" w:rsidR="00493FA0" w:rsidRPr="00D3779E" w:rsidRDefault="00493FA0" w:rsidP="00493FA0">
      <w:pPr>
        <w:pStyle w:val="FormFieldCaption1"/>
        <w:pBdr>
          <w:between w:val="single" w:sz="4" w:space="1" w:color="auto"/>
        </w:pBdr>
        <w:rPr>
          <w:sz w:val="32"/>
        </w:rPr>
      </w:pPr>
      <w:r w:rsidRPr="00D3779E">
        <w:rPr>
          <w:sz w:val="22"/>
        </w:rPr>
        <w:t>eRA COMMONS USER NAME (credential, e.g., agency login):</w:t>
      </w:r>
      <w:r>
        <w:rPr>
          <w:sz w:val="22"/>
        </w:rPr>
        <w:t xml:space="preserve"> </w:t>
      </w:r>
    </w:p>
    <w:p w14:paraId="54182FDE" w14:textId="080215F2" w:rsidR="00493FA0" w:rsidRPr="00D3779E" w:rsidRDefault="00493FA0" w:rsidP="00493FA0">
      <w:pPr>
        <w:pStyle w:val="FormFieldCaption1"/>
        <w:pBdr>
          <w:between w:val="single" w:sz="4" w:space="1" w:color="auto"/>
        </w:pBdr>
        <w:rPr>
          <w:sz w:val="32"/>
        </w:rPr>
      </w:pPr>
      <w:r w:rsidRPr="00D3779E">
        <w:rPr>
          <w:sz w:val="22"/>
        </w:rPr>
        <w:t>POSITION TITLE:</w:t>
      </w:r>
      <w:r w:rsidR="00FF1E2F">
        <w:rPr>
          <w:sz w:val="22"/>
        </w:rPr>
        <w:t xml:space="preserve"> Institute d</w:t>
      </w:r>
      <w:r>
        <w:rPr>
          <w:sz w:val="22"/>
        </w:rPr>
        <w:t>irector</w:t>
      </w:r>
    </w:p>
    <w:p w14:paraId="3EF14977" w14:textId="77777777" w:rsidR="00493FA0" w:rsidRPr="00D3779E" w:rsidRDefault="00493FA0" w:rsidP="00493FA0">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 Add/delete rows as necessary.)</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220"/>
        <w:gridCol w:w="1440"/>
        <w:gridCol w:w="1584"/>
        <w:gridCol w:w="2592"/>
      </w:tblGrid>
      <w:tr w:rsidR="00493FA0" w:rsidRPr="00D3779E" w14:paraId="46C00297" w14:textId="77777777" w:rsidTr="00DF3DDE">
        <w:trPr>
          <w:cantSplit/>
          <w:tblHeader/>
        </w:trPr>
        <w:tc>
          <w:tcPr>
            <w:tcW w:w="5220" w:type="dxa"/>
            <w:tcBorders>
              <w:top w:val="single" w:sz="4" w:space="0" w:color="auto"/>
              <w:bottom w:val="single" w:sz="4" w:space="0" w:color="auto"/>
            </w:tcBorders>
            <w:vAlign w:val="center"/>
          </w:tcPr>
          <w:p w14:paraId="499C30B3" w14:textId="77777777" w:rsidR="00493FA0" w:rsidRPr="00D3779E" w:rsidRDefault="00493FA0" w:rsidP="00DF3DDE">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08050E09" w14:textId="77777777" w:rsidR="00493FA0" w:rsidRPr="00D3779E" w:rsidRDefault="00493FA0" w:rsidP="00DF3DDE">
            <w:pPr>
              <w:pStyle w:val="FormFieldCaption"/>
              <w:jc w:val="center"/>
              <w:rPr>
                <w:sz w:val="22"/>
              </w:rPr>
            </w:pPr>
            <w:r w:rsidRPr="00D3779E">
              <w:rPr>
                <w:sz w:val="22"/>
              </w:rPr>
              <w:t>DEGREE</w:t>
            </w:r>
          </w:p>
          <w:p w14:paraId="44F81BED" w14:textId="77777777" w:rsidR="00493FA0" w:rsidRPr="00D3779E" w:rsidRDefault="00493FA0" w:rsidP="00DF3DDE">
            <w:pPr>
              <w:pStyle w:val="FormFieldCaption"/>
              <w:jc w:val="center"/>
              <w:rPr>
                <w:rStyle w:val="Emphasis"/>
                <w:sz w:val="22"/>
              </w:rPr>
            </w:pPr>
            <w:r w:rsidRPr="00D3779E">
              <w:rPr>
                <w:rStyle w:val="Emphasis"/>
                <w:sz w:val="22"/>
              </w:rPr>
              <w:t>(if applicable)</w:t>
            </w:r>
          </w:p>
          <w:p w14:paraId="7D5436D3" w14:textId="77777777" w:rsidR="00493FA0" w:rsidRPr="00D3779E" w:rsidRDefault="00493FA0" w:rsidP="00DF3DDE">
            <w:pPr>
              <w:pStyle w:val="FormFieldCaption"/>
              <w:rPr>
                <w:sz w:val="22"/>
              </w:rPr>
            </w:pPr>
          </w:p>
        </w:tc>
        <w:tc>
          <w:tcPr>
            <w:tcW w:w="1584" w:type="dxa"/>
            <w:tcBorders>
              <w:top w:val="single" w:sz="4" w:space="0" w:color="auto"/>
              <w:bottom w:val="single" w:sz="4" w:space="0" w:color="auto"/>
            </w:tcBorders>
            <w:vAlign w:val="center"/>
          </w:tcPr>
          <w:p w14:paraId="22C833CA" w14:textId="77777777" w:rsidR="00493FA0" w:rsidRPr="00D3779E" w:rsidRDefault="00493FA0" w:rsidP="00DF3DDE">
            <w:pPr>
              <w:pStyle w:val="FormFieldCaption"/>
              <w:jc w:val="center"/>
              <w:rPr>
                <w:sz w:val="22"/>
              </w:rPr>
            </w:pPr>
            <w:r w:rsidRPr="00D3779E">
              <w:rPr>
                <w:sz w:val="22"/>
              </w:rPr>
              <w:t>Completion Date</w:t>
            </w:r>
          </w:p>
          <w:p w14:paraId="75779F07" w14:textId="77777777" w:rsidR="00493FA0" w:rsidRPr="00D3779E" w:rsidRDefault="00493FA0" w:rsidP="00DF3DDE">
            <w:pPr>
              <w:pStyle w:val="FormFieldCaption"/>
              <w:jc w:val="center"/>
              <w:rPr>
                <w:sz w:val="22"/>
              </w:rPr>
            </w:pPr>
            <w:r w:rsidRPr="00D3779E">
              <w:rPr>
                <w:sz w:val="22"/>
              </w:rPr>
              <w:t>MM/YYYY</w:t>
            </w:r>
          </w:p>
          <w:p w14:paraId="091CB6CC" w14:textId="77777777" w:rsidR="00493FA0" w:rsidRPr="00D3779E" w:rsidRDefault="00493FA0" w:rsidP="00DF3DDE">
            <w:pPr>
              <w:pStyle w:val="FormFieldCaption"/>
              <w:rPr>
                <w:sz w:val="22"/>
              </w:rPr>
            </w:pPr>
          </w:p>
        </w:tc>
        <w:tc>
          <w:tcPr>
            <w:tcW w:w="2592" w:type="dxa"/>
            <w:tcBorders>
              <w:top w:val="single" w:sz="4" w:space="0" w:color="auto"/>
              <w:bottom w:val="single" w:sz="4" w:space="0" w:color="auto"/>
            </w:tcBorders>
            <w:vAlign w:val="center"/>
          </w:tcPr>
          <w:p w14:paraId="2D9D6F46" w14:textId="77777777" w:rsidR="00493FA0" w:rsidRPr="00D3779E" w:rsidRDefault="00493FA0" w:rsidP="00DF3DDE">
            <w:pPr>
              <w:pStyle w:val="FormFieldCaption"/>
              <w:jc w:val="center"/>
              <w:rPr>
                <w:sz w:val="22"/>
              </w:rPr>
            </w:pPr>
            <w:r w:rsidRPr="00D3779E">
              <w:rPr>
                <w:sz w:val="22"/>
              </w:rPr>
              <w:t>FIELD OF STUDY</w:t>
            </w:r>
          </w:p>
          <w:p w14:paraId="0BC2AEFE" w14:textId="77777777" w:rsidR="00493FA0" w:rsidRPr="00D3779E" w:rsidRDefault="00493FA0" w:rsidP="00DF3DDE">
            <w:pPr>
              <w:pStyle w:val="FormFieldCaption"/>
              <w:rPr>
                <w:sz w:val="22"/>
              </w:rPr>
            </w:pPr>
          </w:p>
        </w:tc>
      </w:tr>
      <w:tr w:rsidR="00493FA0" w:rsidRPr="00D3779E" w14:paraId="382202B7" w14:textId="77777777" w:rsidTr="00DF3DDE">
        <w:trPr>
          <w:cantSplit/>
          <w:trHeight w:val="395"/>
        </w:trPr>
        <w:tc>
          <w:tcPr>
            <w:tcW w:w="5220" w:type="dxa"/>
            <w:tcBorders>
              <w:top w:val="single" w:sz="4" w:space="0" w:color="auto"/>
            </w:tcBorders>
          </w:tcPr>
          <w:p w14:paraId="4F303D29" w14:textId="77777777" w:rsidR="00493FA0" w:rsidRPr="00977FA5" w:rsidRDefault="00493FA0" w:rsidP="00DF3DDE">
            <w:pPr>
              <w:pStyle w:val="FormFieldCaption"/>
              <w:tabs>
                <w:tab w:val="clear" w:pos="270"/>
                <w:tab w:val="left" w:pos="1100"/>
              </w:tabs>
              <w:spacing w:before="20" w:after="20"/>
              <w:rPr>
                <w:sz w:val="22"/>
                <w:szCs w:val="22"/>
              </w:rPr>
            </w:pPr>
            <w:r>
              <w:rPr>
                <w:sz w:val="22"/>
                <w:szCs w:val="22"/>
              </w:rPr>
              <w:t>University College London</w:t>
            </w:r>
          </w:p>
        </w:tc>
        <w:tc>
          <w:tcPr>
            <w:tcW w:w="1440" w:type="dxa"/>
            <w:tcBorders>
              <w:top w:val="single" w:sz="4" w:space="0" w:color="auto"/>
            </w:tcBorders>
          </w:tcPr>
          <w:p w14:paraId="08A733BA" w14:textId="77777777" w:rsidR="00493FA0" w:rsidRPr="00977FA5" w:rsidRDefault="00493FA0" w:rsidP="00DF3DDE">
            <w:pPr>
              <w:pStyle w:val="FormFieldCaption"/>
              <w:spacing w:before="20" w:after="20"/>
              <w:jc w:val="center"/>
              <w:rPr>
                <w:sz w:val="22"/>
                <w:szCs w:val="22"/>
              </w:rPr>
            </w:pPr>
            <w:r>
              <w:rPr>
                <w:sz w:val="22"/>
                <w:szCs w:val="22"/>
              </w:rPr>
              <w:t>BSc</w:t>
            </w:r>
          </w:p>
        </w:tc>
        <w:tc>
          <w:tcPr>
            <w:tcW w:w="1584" w:type="dxa"/>
            <w:tcBorders>
              <w:top w:val="single" w:sz="4" w:space="0" w:color="auto"/>
            </w:tcBorders>
          </w:tcPr>
          <w:p w14:paraId="11781448" w14:textId="7A028D42" w:rsidR="00493FA0" w:rsidRPr="00977FA5" w:rsidRDefault="00493FA0" w:rsidP="00DF3DDE">
            <w:pPr>
              <w:pStyle w:val="FormFieldCaption"/>
              <w:spacing w:before="20" w:after="20"/>
              <w:jc w:val="center"/>
              <w:rPr>
                <w:sz w:val="22"/>
                <w:szCs w:val="22"/>
              </w:rPr>
            </w:pPr>
            <w:r>
              <w:rPr>
                <w:sz w:val="22"/>
                <w:szCs w:val="22"/>
              </w:rPr>
              <w:t>198</w:t>
            </w:r>
            <w:r w:rsidR="006B3947">
              <w:rPr>
                <w:sz w:val="22"/>
                <w:szCs w:val="22"/>
              </w:rPr>
              <w:t>3</w:t>
            </w:r>
          </w:p>
        </w:tc>
        <w:tc>
          <w:tcPr>
            <w:tcW w:w="2592" w:type="dxa"/>
            <w:tcBorders>
              <w:top w:val="single" w:sz="4" w:space="0" w:color="auto"/>
            </w:tcBorders>
          </w:tcPr>
          <w:p w14:paraId="46AEB9FD" w14:textId="77777777" w:rsidR="00493FA0" w:rsidRPr="00977FA5" w:rsidRDefault="00493FA0" w:rsidP="00DF3DDE">
            <w:pPr>
              <w:pStyle w:val="FormFieldCaption"/>
              <w:spacing w:before="20" w:after="20"/>
              <w:rPr>
                <w:sz w:val="22"/>
                <w:szCs w:val="22"/>
              </w:rPr>
            </w:pPr>
            <w:r>
              <w:rPr>
                <w:sz w:val="22"/>
                <w:szCs w:val="22"/>
              </w:rPr>
              <w:t>Zoology</w:t>
            </w:r>
          </w:p>
        </w:tc>
      </w:tr>
      <w:tr w:rsidR="00493FA0" w:rsidRPr="00D3779E" w14:paraId="371D0150" w14:textId="77777777" w:rsidTr="00AF007A">
        <w:trPr>
          <w:cantSplit/>
          <w:trHeight w:val="385"/>
        </w:trPr>
        <w:tc>
          <w:tcPr>
            <w:tcW w:w="5220" w:type="dxa"/>
          </w:tcPr>
          <w:p w14:paraId="0BCEFE3A" w14:textId="77777777" w:rsidR="00493FA0" w:rsidRPr="00977FA5" w:rsidRDefault="00493FA0" w:rsidP="00DF3DDE">
            <w:pPr>
              <w:pStyle w:val="FormFieldCaption"/>
              <w:spacing w:before="20" w:after="20"/>
              <w:rPr>
                <w:sz w:val="22"/>
                <w:szCs w:val="22"/>
              </w:rPr>
            </w:pPr>
            <w:r>
              <w:rPr>
                <w:sz w:val="22"/>
                <w:szCs w:val="22"/>
              </w:rPr>
              <w:t>Kings College Cambridge</w:t>
            </w:r>
          </w:p>
        </w:tc>
        <w:tc>
          <w:tcPr>
            <w:tcW w:w="1440" w:type="dxa"/>
          </w:tcPr>
          <w:p w14:paraId="1EFB9F16" w14:textId="77777777" w:rsidR="00493FA0" w:rsidRPr="00977FA5" w:rsidRDefault="00493FA0" w:rsidP="00DF3DDE">
            <w:pPr>
              <w:pStyle w:val="FormFieldCaption"/>
              <w:spacing w:before="20" w:after="20"/>
              <w:jc w:val="center"/>
              <w:rPr>
                <w:sz w:val="22"/>
                <w:szCs w:val="22"/>
              </w:rPr>
            </w:pPr>
            <w:r>
              <w:rPr>
                <w:sz w:val="22"/>
                <w:szCs w:val="22"/>
              </w:rPr>
              <w:t>PhD</w:t>
            </w:r>
          </w:p>
        </w:tc>
        <w:tc>
          <w:tcPr>
            <w:tcW w:w="1584" w:type="dxa"/>
          </w:tcPr>
          <w:p w14:paraId="3612C252" w14:textId="77777777" w:rsidR="00493FA0" w:rsidRPr="00977FA5" w:rsidRDefault="00493FA0" w:rsidP="00DF3DDE">
            <w:pPr>
              <w:pStyle w:val="FormFieldCaption"/>
              <w:spacing w:before="20" w:after="20"/>
              <w:jc w:val="center"/>
              <w:rPr>
                <w:sz w:val="22"/>
                <w:szCs w:val="22"/>
              </w:rPr>
            </w:pPr>
            <w:r>
              <w:rPr>
                <w:sz w:val="22"/>
                <w:szCs w:val="22"/>
              </w:rPr>
              <w:t>1987</w:t>
            </w:r>
          </w:p>
        </w:tc>
        <w:tc>
          <w:tcPr>
            <w:tcW w:w="2592" w:type="dxa"/>
          </w:tcPr>
          <w:p w14:paraId="08B58787" w14:textId="77777777" w:rsidR="00493FA0" w:rsidRPr="00977FA5" w:rsidRDefault="00493FA0" w:rsidP="00DF3DDE">
            <w:pPr>
              <w:pStyle w:val="FormFieldCaption"/>
              <w:spacing w:before="20" w:after="20"/>
              <w:rPr>
                <w:sz w:val="22"/>
                <w:szCs w:val="22"/>
              </w:rPr>
            </w:pPr>
            <w:r>
              <w:rPr>
                <w:sz w:val="22"/>
                <w:szCs w:val="22"/>
              </w:rPr>
              <w:t>Cell Biology</w:t>
            </w:r>
          </w:p>
        </w:tc>
      </w:tr>
      <w:tr w:rsidR="00493FA0" w:rsidRPr="00D3779E" w14:paraId="5FA4394B" w14:textId="77777777" w:rsidTr="00DF3DDE">
        <w:trPr>
          <w:cantSplit/>
          <w:trHeight w:val="395"/>
        </w:trPr>
        <w:tc>
          <w:tcPr>
            <w:tcW w:w="5220" w:type="dxa"/>
          </w:tcPr>
          <w:p w14:paraId="6EC82789" w14:textId="77777777" w:rsidR="00493FA0" w:rsidRPr="00977FA5" w:rsidRDefault="00493FA0" w:rsidP="00DF3DDE">
            <w:pPr>
              <w:pStyle w:val="FormFieldCaption"/>
              <w:spacing w:before="20" w:after="20"/>
              <w:rPr>
                <w:sz w:val="22"/>
                <w:szCs w:val="22"/>
              </w:rPr>
            </w:pPr>
            <w:r>
              <w:rPr>
                <w:sz w:val="22"/>
                <w:szCs w:val="22"/>
              </w:rPr>
              <w:t>University of California San Francisco</w:t>
            </w:r>
          </w:p>
        </w:tc>
        <w:tc>
          <w:tcPr>
            <w:tcW w:w="1440" w:type="dxa"/>
          </w:tcPr>
          <w:p w14:paraId="0FA1ABEF" w14:textId="77777777" w:rsidR="00493FA0" w:rsidRPr="00977FA5" w:rsidRDefault="00493FA0" w:rsidP="00DF3DDE">
            <w:pPr>
              <w:pStyle w:val="FormFieldCaption"/>
              <w:spacing w:before="20" w:after="20"/>
              <w:jc w:val="center"/>
              <w:rPr>
                <w:sz w:val="22"/>
                <w:szCs w:val="22"/>
              </w:rPr>
            </w:pPr>
            <w:r>
              <w:rPr>
                <w:sz w:val="22"/>
                <w:szCs w:val="22"/>
              </w:rPr>
              <w:t>Postdoc</w:t>
            </w:r>
          </w:p>
        </w:tc>
        <w:tc>
          <w:tcPr>
            <w:tcW w:w="1584" w:type="dxa"/>
          </w:tcPr>
          <w:p w14:paraId="484D985C" w14:textId="77777777" w:rsidR="00493FA0" w:rsidRPr="00977FA5" w:rsidRDefault="00493FA0" w:rsidP="00DF3DDE">
            <w:pPr>
              <w:pStyle w:val="FormFieldCaption"/>
              <w:spacing w:before="20" w:after="20"/>
              <w:jc w:val="center"/>
              <w:rPr>
                <w:sz w:val="22"/>
                <w:szCs w:val="22"/>
              </w:rPr>
            </w:pPr>
            <w:r>
              <w:rPr>
                <w:sz w:val="22"/>
                <w:szCs w:val="22"/>
              </w:rPr>
              <w:t>1992</w:t>
            </w:r>
          </w:p>
        </w:tc>
        <w:tc>
          <w:tcPr>
            <w:tcW w:w="2592" w:type="dxa"/>
          </w:tcPr>
          <w:p w14:paraId="63DAE586" w14:textId="77777777" w:rsidR="00493FA0" w:rsidRPr="00977FA5" w:rsidRDefault="00493FA0" w:rsidP="00DF3DDE">
            <w:pPr>
              <w:pStyle w:val="FormFieldCaption"/>
              <w:spacing w:before="20" w:after="20"/>
              <w:rPr>
                <w:sz w:val="22"/>
                <w:szCs w:val="22"/>
              </w:rPr>
            </w:pPr>
            <w:r>
              <w:rPr>
                <w:sz w:val="22"/>
                <w:szCs w:val="22"/>
              </w:rPr>
              <w:t>Cell Biology</w:t>
            </w:r>
          </w:p>
        </w:tc>
      </w:tr>
      <w:tr w:rsidR="00493FA0" w:rsidRPr="00D3779E" w14:paraId="6A42B6F2" w14:textId="77777777" w:rsidTr="00DF3DDE">
        <w:trPr>
          <w:cantSplit/>
          <w:trHeight w:val="395"/>
        </w:trPr>
        <w:tc>
          <w:tcPr>
            <w:tcW w:w="5220" w:type="dxa"/>
          </w:tcPr>
          <w:p w14:paraId="3A36D680" w14:textId="77777777" w:rsidR="00493FA0" w:rsidRPr="00977FA5" w:rsidRDefault="00493FA0" w:rsidP="00DF3DDE">
            <w:pPr>
              <w:pStyle w:val="FormFieldCaption"/>
              <w:spacing w:before="20" w:after="20"/>
              <w:rPr>
                <w:sz w:val="22"/>
                <w:szCs w:val="22"/>
              </w:rPr>
            </w:pPr>
          </w:p>
        </w:tc>
        <w:tc>
          <w:tcPr>
            <w:tcW w:w="1440" w:type="dxa"/>
          </w:tcPr>
          <w:p w14:paraId="64CFC7B0" w14:textId="77777777" w:rsidR="00493FA0" w:rsidRPr="00977FA5" w:rsidRDefault="00493FA0" w:rsidP="00DF3DDE">
            <w:pPr>
              <w:pStyle w:val="FormFieldCaption"/>
              <w:spacing w:before="20" w:after="20"/>
              <w:jc w:val="center"/>
              <w:rPr>
                <w:sz w:val="22"/>
                <w:szCs w:val="22"/>
              </w:rPr>
            </w:pPr>
          </w:p>
        </w:tc>
        <w:tc>
          <w:tcPr>
            <w:tcW w:w="1584" w:type="dxa"/>
          </w:tcPr>
          <w:p w14:paraId="122C86F4" w14:textId="77777777" w:rsidR="00493FA0" w:rsidRPr="00977FA5" w:rsidRDefault="00493FA0" w:rsidP="00DF3DDE">
            <w:pPr>
              <w:pStyle w:val="FormFieldCaption"/>
              <w:spacing w:before="20" w:after="20"/>
              <w:jc w:val="center"/>
              <w:rPr>
                <w:sz w:val="22"/>
                <w:szCs w:val="22"/>
              </w:rPr>
            </w:pPr>
          </w:p>
        </w:tc>
        <w:tc>
          <w:tcPr>
            <w:tcW w:w="2592" w:type="dxa"/>
          </w:tcPr>
          <w:p w14:paraId="5141F437" w14:textId="77777777" w:rsidR="00493FA0" w:rsidRPr="00977FA5" w:rsidRDefault="00493FA0" w:rsidP="00DF3DDE">
            <w:pPr>
              <w:pStyle w:val="FormFieldCaption"/>
              <w:spacing w:before="20" w:after="20"/>
              <w:rPr>
                <w:sz w:val="22"/>
                <w:szCs w:val="22"/>
              </w:rPr>
            </w:pPr>
          </w:p>
        </w:tc>
      </w:tr>
      <w:tr w:rsidR="00493FA0" w:rsidRPr="00D3779E" w14:paraId="57D71180" w14:textId="77777777" w:rsidTr="00AF007A">
        <w:trPr>
          <w:cantSplit/>
          <w:trHeight w:val="87"/>
        </w:trPr>
        <w:tc>
          <w:tcPr>
            <w:tcW w:w="5220" w:type="dxa"/>
          </w:tcPr>
          <w:p w14:paraId="1C71615F" w14:textId="77777777" w:rsidR="00493FA0" w:rsidRPr="00977FA5" w:rsidRDefault="00493FA0" w:rsidP="00DF3DDE">
            <w:pPr>
              <w:pStyle w:val="FormFieldCaption"/>
              <w:spacing w:before="20" w:after="20"/>
              <w:rPr>
                <w:sz w:val="22"/>
                <w:szCs w:val="22"/>
              </w:rPr>
            </w:pPr>
          </w:p>
        </w:tc>
        <w:tc>
          <w:tcPr>
            <w:tcW w:w="1440" w:type="dxa"/>
          </w:tcPr>
          <w:p w14:paraId="44B12BDD" w14:textId="77777777" w:rsidR="00493FA0" w:rsidRPr="00977FA5" w:rsidRDefault="00493FA0" w:rsidP="00DF3DDE">
            <w:pPr>
              <w:pStyle w:val="FormFieldCaption"/>
              <w:spacing w:before="20" w:after="20"/>
              <w:jc w:val="center"/>
              <w:rPr>
                <w:sz w:val="22"/>
                <w:szCs w:val="22"/>
              </w:rPr>
            </w:pPr>
          </w:p>
        </w:tc>
        <w:tc>
          <w:tcPr>
            <w:tcW w:w="1584" w:type="dxa"/>
          </w:tcPr>
          <w:p w14:paraId="5BEC9985" w14:textId="77777777" w:rsidR="00493FA0" w:rsidRPr="00977FA5" w:rsidRDefault="00493FA0" w:rsidP="00DF3DDE">
            <w:pPr>
              <w:pStyle w:val="FormFieldCaption"/>
              <w:spacing w:before="20" w:after="20"/>
              <w:jc w:val="center"/>
              <w:rPr>
                <w:sz w:val="22"/>
                <w:szCs w:val="22"/>
              </w:rPr>
            </w:pPr>
          </w:p>
        </w:tc>
        <w:tc>
          <w:tcPr>
            <w:tcW w:w="2592" w:type="dxa"/>
          </w:tcPr>
          <w:p w14:paraId="1ECA7429" w14:textId="77777777" w:rsidR="00493FA0" w:rsidRPr="00977FA5" w:rsidRDefault="00493FA0" w:rsidP="00DF3DDE">
            <w:pPr>
              <w:pStyle w:val="FormFieldCaption"/>
              <w:spacing w:before="20" w:after="20"/>
              <w:rPr>
                <w:sz w:val="22"/>
                <w:szCs w:val="22"/>
              </w:rPr>
            </w:pPr>
          </w:p>
        </w:tc>
      </w:tr>
    </w:tbl>
    <w:p w14:paraId="70C735B6" w14:textId="77777777" w:rsidR="00493FA0" w:rsidRDefault="00493FA0" w:rsidP="00493FA0">
      <w:pPr>
        <w:pStyle w:val="DataField11pt-Single"/>
      </w:pPr>
    </w:p>
    <w:p w14:paraId="25647BA2" w14:textId="77777777" w:rsidR="00493FA0" w:rsidRDefault="00493FA0" w:rsidP="00493FA0"/>
    <w:p w14:paraId="46F2AF2F" w14:textId="5946682A" w:rsidR="00493FA0" w:rsidRDefault="00493FA0" w:rsidP="002C6400">
      <w:pPr>
        <w:rPr>
          <w:rFonts w:cs="Arial"/>
          <w:szCs w:val="22"/>
        </w:rPr>
      </w:pPr>
      <w:r w:rsidRPr="00A128A0">
        <w:rPr>
          <w:rStyle w:val="Strong"/>
        </w:rPr>
        <w:t>A.</w:t>
      </w:r>
      <w:r w:rsidRPr="00A128A0">
        <w:rPr>
          <w:rStyle w:val="Strong"/>
        </w:rPr>
        <w:tab/>
        <w:t>Personal Statement</w:t>
      </w:r>
      <w:r>
        <w:rPr>
          <w:rStyle w:val="Strong"/>
        </w:rPr>
        <w:br/>
      </w:r>
      <w:r w:rsidRPr="00C76E84">
        <w:rPr>
          <w:rFonts w:cs="Arial"/>
          <w:szCs w:val="22"/>
        </w:rPr>
        <w:t>Prof. Dr. Anthony Hyman is Director and Group Leader at the Max Planck Institute of Molecular Cell Biology and Genetics.</w:t>
      </w:r>
      <w:r>
        <w:rPr>
          <w:rFonts w:cs="Arial"/>
          <w:szCs w:val="22"/>
        </w:rPr>
        <w:t xml:space="preserve"> </w:t>
      </w:r>
      <w:r w:rsidRPr="00C76E84">
        <w:rPr>
          <w:rFonts w:cs="Arial"/>
          <w:szCs w:val="22"/>
        </w:rPr>
        <w:t xml:space="preserve">1984 he received his BSc first class in Zoology from the University College in London, where he had also been working as research Assistant in 1981. </w:t>
      </w:r>
      <w:r>
        <w:rPr>
          <w:rFonts w:cs="Arial"/>
          <w:szCs w:val="22"/>
        </w:rPr>
        <w:t xml:space="preserve"> </w:t>
      </w:r>
      <w:r w:rsidRPr="00C76E84">
        <w:rPr>
          <w:rFonts w:cs="Arial"/>
          <w:szCs w:val="22"/>
        </w:rPr>
        <w:t xml:space="preserve">From 1985 to 1987 he wrote his PhD </w:t>
      </w:r>
      <w:r>
        <w:rPr>
          <w:rFonts w:cs="Arial"/>
          <w:szCs w:val="22"/>
        </w:rPr>
        <w:t>about</w:t>
      </w:r>
      <w:r w:rsidRPr="00C76E84">
        <w:rPr>
          <w:rFonts w:cs="Arial"/>
          <w:szCs w:val="22"/>
        </w:rPr>
        <w:t xml:space="preserve"> “The establishment of division axes in early C.elegans embryos” under the supervision of Dr. John White</w:t>
      </w:r>
      <w:r>
        <w:rPr>
          <w:rFonts w:cs="Arial"/>
          <w:szCs w:val="22"/>
        </w:rPr>
        <w:t xml:space="preserve"> at the Laboratory of Molecular Biology, MRC in Cambridge, England</w:t>
      </w:r>
      <w:r w:rsidRPr="00C76E84">
        <w:rPr>
          <w:rFonts w:cs="Arial"/>
          <w:szCs w:val="22"/>
        </w:rPr>
        <w:t>. After that he moved to San Francisco where he did his postdoctoral research in the lab of Prof. Tim Mitchison at the University of California investigating the mechanism of chromosome movement studied in vitro. 1993 he became Group Leader at the European Molecular Biology Laboratory in Heidelberg, bef</w:t>
      </w:r>
      <w:r w:rsidR="008B066B">
        <w:rPr>
          <w:rFonts w:cs="Arial"/>
          <w:szCs w:val="22"/>
        </w:rPr>
        <w:t xml:space="preserve">ore he moved to Dresden in 1999 as a founding director of the Max Planck Institute for Molecular Cell Biology and Genetics.  In </w:t>
      </w:r>
      <w:r>
        <w:rPr>
          <w:rFonts w:cs="Arial"/>
          <w:szCs w:val="22"/>
        </w:rPr>
        <w:t xml:space="preserve">2002 he was named honorary Professor of Molecular Cell Biology at Dresden University of Technology.  </w:t>
      </w:r>
      <w:r w:rsidR="002C6400">
        <w:rPr>
          <w:rFonts w:cs="Arial"/>
          <w:szCs w:val="22"/>
        </w:rPr>
        <w:t>He is best known for his work on the role of phase separation in formation of biological compartments.</w:t>
      </w:r>
    </w:p>
    <w:p w14:paraId="5E0B0D42" w14:textId="77777777" w:rsidR="002C6400" w:rsidRPr="00A128A0" w:rsidRDefault="002C6400" w:rsidP="002C6400">
      <w:pPr>
        <w:rPr>
          <w:rStyle w:val="Strong"/>
        </w:rPr>
      </w:pPr>
    </w:p>
    <w:p w14:paraId="67377A75" w14:textId="77777777" w:rsidR="00493FA0" w:rsidRDefault="00493FA0" w:rsidP="00493FA0">
      <w:pPr>
        <w:pStyle w:val="DataField11pt-Single"/>
        <w:rPr>
          <w:rStyle w:val="Strong"/>
        </w:rPr>
      </w:pPr>
      <w:r w:rsidRPr="00A128A0">
        <w:rPr>
          <w:rStyle w:val="Strong"/>
        </w:rPr>
        <w:t>B.</w:t>
      </w:r>
      <w:r w:rsidRPr="00A128A0">
        <w:rPr>
          <w:rStyle w:val="Strong"/>
        </w:rPr>
        <w:tab/>
        <w:t>Positions and Honors</w:t>
      </w:r>
      <w:r>
        <w:rPr>
          <w:rStyle w:val="Strong"/>
        </w:rPr>
        <w:br/>
      </w:r>
    </w:p>
    <w:p w14:paraId="3FE629D7" w14:textId="77777777" w:rsidR="004F0196" w:rsidRDefault="004F0196" w:rsidP="004F0196">
      <w:pPr>
        <w:pStyle w:val="DataField11pt-Single"/>
        <w:rPr>
          <w:rStyle w:val="Strong"/>
          <w:u w:val="single"/>
        </w:rPr>
      </w:pPr>
      <w:r w:rsidRPr="006C3FF6">
        <w:rPr>
          <w:rStyle w:val="Strong"/>
          <w:u w:val="single"/>
        </w:rPr>
        <w:t>Positions and Employment</w:t>
      </w:r>
    </w:p>
    <w:p w14:paraId="10AE8280" w14:textId="77777777" w:rsidR="00007D57" w:rsidRDefault="00007D57" w:rsidP="009729EF">
      <w:pPr>
        <w:pStyle w:val="DataField11pt-Single"/>
        <w:rPr>
          <w:bCs/>
        </w:rPr>
      </w:pPr>
    </w:p>
    <w:p w14:paraId="5DF50F23" w14:textId="44E4B935" w:rsidR="009729EF" w:rsidRPr="009729EF" w:rsidRDefault="009729EF" w:rsidP="009729EF">
      <w:pPr>
        <w:pStyle w:val="DataField11pt-Single"/>
        <w:rPr>
          <w:bCs/>
        </w:rPr>
      </w:pPr>
      <w:r w:rsidRPr="009729EF">
        <w:rPr>
          <w:bCs/>
        </w:rPr>
        <w:t>1993 – 1997</w:t>
      </w:r>
      <w:r w:rsidRPr="009729EF">
        <w:rPr>
          <w:bCs/>
        </w:rPr>
        <w:tab/>
      </w:r>
      <w:r>
        <w:rPr>
          <w:bCs/>
        </w:rPr>
        <w:t xml:space="preserve">      </w:t>
      </w:r>
      <w:r w:rsidR="000B5C92">
        <w:rPr>
          <w:bCs/>
        </w:rPr>
        <w:tab/>
      </w:r>
      <w:r w:rsidR="00ED3E11">
        <w:rPr>
          <w:bCs/>
        </w:rPr>
        <w:tab/>
      </w:r>
      <w:r w:rsidR="00ED3E11">
        <w:rPr>
          <w:bCs/>
        </w:rPr>
        <w:tab/>
      </w:r>
      <w:r w:rsidR="00ED3E11">
        <w:rPr>
          <w:bCs/>
        </w:rPr>
        <w:tab/>
      </w:r>
      <w:r w:rsidRPr="009729EF">
        <w:rPr>
          <w:bCs/>
        </w:rPr>
        <w:t>Group Leader: EMBL, Heidelberg</w:t>
      </w:r>
    </w:p>
    <w:p w14:paraId="1D528A48" w14:textId="1B7F492D" w:rsidR="009729EF" w:rsidRPr="009729EF" w:rsidRDefault="009729EF" w:rsidP="009729EF">
      <w:pPr>
        <w:pStyle w:val="DataField11pt-Single"/>
        <w:rPr>
          <w:bCs/>
        </w:rPr>
      </w:pPr>
      <w:r w:rsidRPr="009729EF">
        <w:rPr>
          <w:bCs/>
        </w:rPr>
        <w:t>1997 – present</w:t>
      </w:r>
      <w:r w:rsidRPr="009729EF">
        <w:rPr>
          <w:bCs/>
        </w:rPr>
        <w:tab/>
      </w:r>
      <w:r w:rsidR="000B5C92">
        <w:rPr>
          <w:bCs/>
        </w:rPr>
        <w:tab/>
      </w:r>
      <w:r w:rsidR="00ED3E11">
        <w:rPr>
          <w:bCs/>
        </w:rPr>
        <w:tab/>
      </w:r>
      <w:r w:rsidR="00ED3E11">
        <w:rPr>
          <w:bCs/>
        </w:rPr>
        <w:tab/>
      </w:r>
      <w:r w:rsidR="00ED3E11">
        <w:rPr>
          <w:bCs/>
        </w:rPr>
        <w:tab/>
      </w:r>
      <w:r w:rsidRPr="009729EF">
        <w:rPr>
          <w:bCs/>
        </w:rPr>
        <w:t>Director, MPI-CBG Dresden</w:t>
      </w:r>
    </w:p>
    <w:p w14:paraId="028FBA76" w14:textId="1EFD554D" w:rsidR="009729EF" w:rsidRDefault="009729EF" w:rsidP="009729EF">
      <w:pPr>
        <w:pStyle w:val="DataField11pt-Single"/>
        <w:rPr>
          <w:bCs/>
        </w:rPr>
      </w:pPr>
      <w:r w:rsidRPr="009729EF">
        <w:rPr>
          <w:bCs/>
        </w:rPr>
        <w:t>2010 – 2013</w:t>
      </w:r>
      <w:r w:rsidR="00ED3E11">
        <w:rPr>
          <w:bCs/>
        </w:rPr>
        <w:t xml:space="preserve"> and 2021-2023</w:t>
      </w:r>
      <w:r w:rsidRPr="009729EF">
        <w:rPr>
          <w:bCs/>
        </w:rPr>
        <w:tab/>
      </w:r>
      <w:r>
        <w:rPr>
          <w:bCs/>
        </w:rPr>
        <w:t xml:space="preserve">      </w:t>
      </w:r>
      <w:r w:rsidRPr="009729EF">
        <w:rPr>
          <w:bCs/>
        </w:rPr>
        <w:t>Managing Director, MPI-CBG</w:t>
      </w:r>
    </w:p>
    <w:p w14:paraId="5D304658" w14:textId="77777777" w:rsidR="00A07D0E" w:rsidRDefault="00A07D0E" w:rsidP="009729EF">
      <w:pPr>
        <w:pStyle w:val="DataField11pt-Single"/>
        <w:rPr>
          <w:bCs/>
        </w:rPr>
      </w:pPr>
    </w:p>
    <w:p w14:paraId="39EE665F" w14:textId="77777777" w:rsidR="00007D57" w:rsidRDefault="00A07D0E" w:rsidP="00A15A4B">
      <w:pPr>
        <w:pStyle w:val="DataField11pt-Single"/>
        <w:rPr>
          <w:b/>
          <w:bCs/>
          <w:u w:val="single"/>
        </w:rPr>
      </w:pPr>
      <w:r w:rsidRPr="00A07D0E">
        <w:rPr>
          <w:b/>
          <w:bCs/>
          <w:u w:val="single"/>
        </w:rPr>
        <w:t>Selected professional service</w:t>
      </w:r>
    </w:p>
    <w:p w14:paraId="11D11FA6" w14:textId="77777777" w:rsidR="00007D57" w:rsidRDefault="00007D57" w:rsidP="00A15A4B">
      <w:pPr>
        <w:pStyle w:val="DataField11pt-Single"/>
        <w:rPr>
          <w:bCs/>
        </w:rPr>
      </w:pPr>
    </w:p>
    <w:p w14:paraId="1F143CC6" w14:textId="4C78CA21" w:rsidR="00A15A4B" w:rsidRPr="00A15A4B" w:rsidRDefault="00A15A4B" w:rsidP="00A15A4B">
      <w:pPr>
        <w:pStyle w:val="DataField11pt-Single"/>
        <w:rPr>
          <w:bCs/>
        </w:rPr>
      </w:pPr>
      <w:r w:rsidRPr="00A15A4B">
        <w:rPr>
          <w:bCs/>
        </w:rPr>
        <w:t xml:space="preserve">2011 – </w:t>
      </w:r>
      <w:r w:rsidR="00B203C2">
        <w:rPr>
          <w:bCs/>
        </w:rPr>
        <w:t xml:space="preserve">2022    </w:t>
      </w:r>
      <w:r w:rsidR="00EB0BB4" w:rsidRPr="00B203C2">
        <w:rPr>
          <w:b/>
        </w:rPr>
        <w:t>Chair</w:t>
      </w:r>
      <w:r w:rsidR="00EB0BB4">
        <w:rPr>
          <w:bCs/>
        </w:rPr>
        <w:t xml:space="preserve">, </w:t>
      </w:r>
      <w:r w:rsidRPr="00A15A4B">
        <w:rPr>
          <w:bCs/>
        </w:rPr>
        <w:t>SAB, Gulbenkian Institute of Science (IGC)</w:t>
      </w:r>
    </w:p>
    <w:p w14:paraId="55E85239" w14:textId="6C446398" w:rsidR="00A15A4B" w:rsidRDefault="00A15A4B" w:rsidP="00A15A4B">
      <w:pPr>
        <w:pStyle w:val="DataField11pt-Single"/>
        <w:rPr>
          <w:bCs/>
        </w:rPr>
      </w:pPr>
      <w:r w:rsidRPr="00A15A4B">
        <w:rPr>
          <w:bCs/>
        </w:rPr>
        <w:t>2017 –</w:t>
      </w:r>
      <w:r w:rsidR="000B5C92">
        <w:rPr>
          <w:bCs/>
        </w:rPr>
        <w:t xml:space="preserve"> </w:t>
      </w:r>
      <w:r w:rsidR="00B203C2">
        <w:rPr>
          <w:bCs/>
        </w:rPr>
        <w:t xml:space="preserve">2020   </w:t>
      </w:r>
      <w:r w:rsidR="000B5C92">
        <w:rPr>
          <w:bCs/>
        </w:rPr>
        <w:tab/>
      </w:r>
      <w:r w:rsidRPr="00B203C2">
        <w:rPr>
          <w:b/>
        </w:rPr>
        <w:t>Chair</w:t>
      </w:r>
      <w:r w:rsidRPr="00A15A4B">
        <w:rPr>
          <w:bCs/>
        </w:rPr>
        <w:t>, Welcome Trust Strategy committee</w:t>
      </w:r>
    </w:p>
    <w:p w14:paraId="7A78A225" w14:textId="77777777" w:rsidR="00B203C2" w:rsidRPr="00B203C2" w:rsidRDefault="00B203C2" w:rsidP="00B203C2">
      <w:pPr>
        <w:pStyle w:val="DataField11pt-Single"/>
        <w:rPr>
          <w:bCs/>
        </w:rPr>
      </w:pPr>
      <w:r w:rsidRPr="00B203C2">
        <w:rPr>
          <w:bCs/>
        </w:rPr>
        <w:t>2007 – 2016</w:t>
      </w:r>
      <w:r w:rsidRPr="00B203C2">
        <w:rPr>
          <w:bCs/>
        </w:rPr>
        <w:tab/>
      </w:r>
      <w:r w:rsidRPr="00B203C2">
        <w:rPr>
          <w:b/>
          <w:bCs/>
        </w:rPr>
        <w:t>Chair,</w:t>
      </w:r>
      <w:r w:rsidRPr="00B203C2">
        <w:rPr>
          <w:bCs/>
        </w:rPr>
        <w:t xml:space="preserve"> SAB Institute of (IMBA), Vienna, Austria</w:t>
      </w:r>
      <w:r w:rsidRPr="00B203C2">
        <w:rPr>
          <w:bCs/>
        </w:rPr>
        <w:tab/>
      </w:r>
      <w:r w:rsidRPr="00B203C2">
        <w:rPr>
          <w:bCs/>
        </w:rPr>
        <w:tab/>
      </w:r>
      <w:r w:rsidRPr="00B203C2">
        <w:rPr>
          <w:bCs/>
        </w:rPr>
        <w:tab/>
      </w:r>
    </w:p>
    <w:p w14:paraId="00F163A0" w14:textId="77777777" w:rsidR="00B203C2" w:rsidRPr="00B203C2" w:rsidRDefault="00B203C2" w:rsidP="00B203C2">
      <w:pPr>
        <w:pStyle w:val="DataField11pt-Single"/>
        <w:rPr>
          <w:bCs/>
        </w:rPr>
      </w:pPr>
      <w:r w:rsidRPr="00B203C2">
        <w:rPr>
          <w:bCs/>
        </w:rPr>
        <w:t>2014 – 2020</w:t>
      </w:r>
      <w:r w:rsidRPr="00B203C2">
        <w:rPr>
          <w:bCs/>
        </w:rPr>
        <w:tab/>
      </w:r>
      <w:r w:rsidRPr="00B203C2">
        <w:rPr>
          <w:b/>
          <w:bCs/>
        </w:rPr>
        <w:t>Chair</w:t>
      </w:r>
      <w:r w:rsidRPr="00B203C2">
        <w:rPr>
          <w:bCs/>
        </w:rPr>
        <w:t xml:space="preserve">, SAB of the NNF Center for Protein Research, Denmark.  </w:t>
      </w:r>
      <w:r w:rsidRPr="00B203C2">
        <w:rPr>
          <w:bCs/>
        </w:rPr>
        <w:tab/>
      </w:r>
    </w:p>
    <w:p w14:paraId="4787A01B" w14:textId="77777777" w:rsidR="00B203C2" w:rsidRPr="00B203C2" w:rsidRDefault="00B203C2" w:rsidP="00B203C2">
      <w:pPr>
        <w:pStyle w:val="DataField11pt-Single"/>
        <w:rPr>
          <w:bCs/>
        </w:rPr>
      </w:pPr>
      <w:r w:rsidRPr="00B203C2">
        <w:rPr>
          <w:bCs/>
        </w:rPr>
        <w:t>2014 – 2020</w:t>
      </w:r>
      <w:r w:rsidRPr="00B203C2">
        <w:rPr>
          <w:bCs/>
        </w:rPr>
        <w:tab/>
      </w:r>
      <w:r w:rsidRPr="00B203C2">
        <w:rPr>
          <w:b/>
          <w:bCs/>
        </w:rPr>
        <w:t>Scientific Advisory Council</w:t>
      </w:r>
      <w:r w:rsidRPr="00B203C2">
        <w:rPr>
          <w:bCs/>
        </w:rPr>
        <w:t>, EMBL Heidelberg.</w:t>
      </w:r>
    </w:p>
    <w:p w14:paraId="39160161" w14:textId="43AFD2F0" w:rsidR="00B203C2" w:rsidRPr="00B203C2" w:rsidRDefault="00B203C2" w:rsidP="00B203C2">
      <w:pPr>
        <w:pStyle w:val="DataField11pt-Single"/>
        <w:rPr>
          <w:bCs/>
        </w:rPr>
      </w:pPr>
      <w:r w:rsidRPr="00B203C2">
        <w:rPr>
          <w:bCs/>
        </w:rPr>
        <w:lastRenderedPageBreak/>
        <w:t xml:space="preserve">2014 – </w:t>
      </w:r>
      <w:r>
        <w:rPr>
          <w:bCs/>
        </w:rPr>
        <w:t xml:space="preserve"> </w:t>
      </w:r>
      <w:r w:rsidRPr="00B203C2">
        <w:rPr>
          <w:bCs/>
        </w:rPr>
        <w:t>2017</w:t>
      </w:r>
      <w:r w:rsidRPr="00B203C2">
        <w:rPr>
          <w:bCs/>
        </w:rPr>
        <w:tab/>
      </w:r>
      <w:r w:rsidRPr="00B203C2">
        <w:rPr>
          <w:b/>
          <w:bCs/>
        </w:rPr>
        <w:t>Council Member</w:t>
      </w:r>
      <w:r w:rsidRPr="00B203C2">
        <w:rPr>
          <w:bCs/>
        </w:rPr>
        <w:t>, American Society of Cell Biology (ASCB)</w:t>
      </w:r>
    </w:p>
    <w:p w14:paraId="532EC2A7" w14:textId="0CBA0B8D" w:rsidR="00B203C2" w:rsidRDefault="00B203C2" w:rsidP="00B203C2">
      <w:pPr>
        <w:pStyle w:val="DataField11pt-Single"/>
        <w:rPr>
          <w:bCs/>
        </w:rPr>
      </w:pPr>
      <w:r w:rsidRPr="00B203C2">
        <w:rPr>
          <w:bCs/>
        </w:rPr>
        <w:t>2017 –  2020</w:t>
      </w:r>
      <w:r w:rsidRPr="00B203C2">
        <w:rPr>
          <w:bCs/>
        </w:rPr>
        <w:tab/>
      </w:r>
      <w:r w:rsidRPr="00B203C2">
        <w:rPr>
          <w:b/>
          <w:bCs/>
        </w:rPr>
        <w:t>Chair</w:t>
      </w:r>
      <w:r w:rsidRPr="00B203C2">
        <w:rPr>
          <w:bCs/>
        </w:rPr>
        <w:t>, Welcome Trust Strategy committee</w:t>
      </w:r>
    </w:p>
    <w:p w14:paraId="0B0115D9" w14:textId="77777777" w:rsidR="00B203C2" w:rsidRPr="00B203C2" w:rsidRDefault="00B203C2" w:rsidP="00B203C2">
      <w:pPr>
        <w:pStyle w:val="DataField11pt-Single"/>
        <w:rPr>
          <w:bCs/>
        </w:rPr>
      </w:pPr>
      <w:r w:rsidRPr="00B203C2">
        <w:rPr>
          <w:bCs/>
        </w:rPr>
        <w:t>2013 –</w:t>
      </w:r>
      <w:r w:rsidRPr="00B203C2">
        <w:rPr>
          <w:bCs/>
        </w:rPr>
        <w:tab/>
      </w:r>
      <w:r>
        <w:rPr>
          <w:bCs/>
        </w:rPr>
        <w:tab/>
      </w:r>
      <w:r>
        <w:rPr>
          <w:bCs/>
        </w:rPr>
        <w:tab/>
      </w:r>
      <w:r w:rsidRPr="00B203C2">
        <w:rPr>
          <w:b/>
          <w:bCs/>
        </w:rPr>
        <w:t>Member,</w:t>
      </w:r>
      <w:r w:rsidRPr="00B203C2">
        <w:rPr>
          <w:bCs/>
        </w:rPr>
        <w:t xml:space="preserve"> Academic Research Council, Singapore</w:t>
      </w:r>
    </w:p>
    <w:p w14:paraId="5859E05C" w14:textId="77777777" w:rsidR="00B203C2" w:rsidRPr="00B203C2" w:rsidRDefault="00B203C2" w:rsidP="00B203C2">
      <w:pPr>
        <w:pStyle w:val="DataField11pt-Single"/>
        <w:rPr>
          <w:bCs/>
        </w:rPr>
      </w:pPr>
    </w:p>
    <w:p w14:paraId="60CB6C59" w14:textId="422890E8" w:rsidR="004F0196" w:rsidRPr="00B203C2" w:rsidRDefault="004F0196" w:rsidP="00B203C2">
      <w:pPr>
        <w:pStyle w:val="DataField11pt-Single"/>
        <w:rPr>
          <w:b/>
          <w:bCs/>
        </w:rPr>
      </w:pPr>
      <w:r w:rsidRPr="00663F95">
        <w:rPr>
          <w:b/>
          <w:u w:val="single"/>
        </w:rPr>
        <w:t>Honors</w:t>
      </w:r>
    </w:p>
    <w:p w14:paraId="56BFD568" w14:textId="77777777" w:rsidR="00A15A4B" w:rsidRDefault="00A15A4B" w:rsidP="00493FA0">
      <w:pPr>
        <w:pStyle w:val="DataField11pt-Single"/>
        <w:rPr>
          <w:rStyle w:val="Strong"/>
        </w:rPr>
      </w:pPr>
    </w:p>
    <w:p w14:paraId="5661D948" w14:textId="77777777" w:rsidR="00493FA0" w:rsidRPr="000B5D26" w:rsidRDefault="00493FA0" w:rsidP="00493FA0">
      <w:pPr>
        <w:pStyle w:val="DataField11pt-Single"/>
      </w:pPr>
      <w:r w:rsidRPr="000B5D26">
        <w:t>2000</w:t>
      </w:r>
      <w:r w:rsidRPr="000B5D26">
        <w:tab/>
        <w:t>EMBO member</w:t>
      </w:r>
    </w:p>
    <w:p w14:paraId="02D985E3" w14:textId="77777777" w:rsidR="00493FA0" w:rsidRPr="000B5D26" w:rsidRDefault="00493FA0" w:rsidP="00493FA0">
      <w:pPr>
        <w:pStyle w:val="DataField11pt-Single"/>
      </w:pPr>
      <w:r w:rsidRPr="000B5D26">
        <w:t>2002</w:t>
      </w:r>
      <w:r w:rsidRPr="000B5D26">
        <w:tab/>
        <w:t>Honorary Professor TUD Dresden</w:t>
      </w:r>
    </w:p>
    <w:p w14:paraId="6DF20A10" w14:textId="77777777" w:rsidR="00493FA0" w:rsidRPr="000B5D26" w:rsidRDefault="00493FA0" w:rsidP="00493FA0">
      <w:pPr>
        <w:pStyle w:val="DataField11pt-Single"/>
      </w:pPr>
      <w:r w:rsidRPr="000B5D26">
        <w:t>2003</w:t>
      </w:r>
      <w:r w:rsidRPr="000B5D26">
        <w:tab/>
        <w:t>EMBO Gold Medal</w:t>
      </w:r>
    </w:p>
    <w:p w14:paraId="7978F548" w14:textId="77777777" w:rsidR="00493FA0" w:rsidRPr="000B5D26" w:rsidRDefault="00493FA0" w:rsidP="00493FA0">
      <w:pPr>
        <w:pStyle w:val="DataField11pt-Single"/>
      </w:pPr>
      <w:r w:rsidRPr="000B5D26">
        <w:t>2007</w:t>
      </w:r>
      <w:r w:rsidRPr="000B5D26">
        <w:tab/>
        <w:t>Elected fellow of the Royal Society</w:t>
      </w:r>
    </w:p>
    <w:p w14:paraId="3066CA76" w14:textId="77777777" w:rsidR="00493FA0" w:rsidRPr="000B5D26" w:rsidRDefault="00493FA0" w:rsidP="00493FA0">
      <w:pPr>
        <w:pStyle w:val="DataField11pt-Single"/>
      </w:pPr>
      <w:r w:rsidRPr="000B5D26">
        <w:t>2011</w:t>
      </w:r>
      <w:r w:rsidRPr="000B5D26">
        <w:tab/>
        <w:t xml:space="preserve">Gottfried Wilhelm Leibniz Prize </w:t>
      </w:r>
    </w:p>
    <w:p w14:paraId="7271DBB8" w14:textId="77777777" w:rsidR="00493FA0" w:rsidRDefault="00493FA0" w:rsidP="00493FA0">
      <w:pPr>
        <w:pStyle w:val="DataField11pt-Single"/>
      </w:pPr>
      <w:r w:rsidRPr="000B5D26">
        <w:t>2014</w:t>
      </w:r>
      <w:r w:rsidRPr="000B5D26">
        <w:tab/>
        <w:t>Elected member of Academia Europaea</w:t>
      </w:r>
    </w:p>
    <w:p w14:paraId="060D5C51" w14:textId="79760ACD" w:rsidR="00D74388" w:rsidRDefault="00D74388" w:rsidP="00493FA0">
      <w:pPr>
        <w:pStyle w:val="DataField11pt-Single"/>
      </w:pPr>
      <w:r>
        <w:t xml:space="preserve">2017   </w:t>
      </w:r>
      <w:r w:rsidR="00C21E7C">
        <w:t xml:space="preserve"> </w:t>
      </w:r>
      <w:r>
        <w:t>Schleiden Medal, German Academy of Science.</w:t>
      </w:r>
    </w:p>
    <w:p w14:paraId="6D23F627" w14:textId="77777777" w:rsidR="00EC2B84" w:rsidRPr="00EC2B84" w:rsidRDefault="00EC2B84" w:rsidP="00EC2B84">
      <w:pPr>
        <w:pStyle w:val="DataField11pt-Single"/>
      </w:pPr>
      <w:r w:rsidRPr="00EC2B84">
        <w:t>2019</w:t>
      </w:r>
      <w:r w:rsidRPr="00EC2B84">
        <w:tab/>
        <w:t>Carl Zeiss Prize for outstanding achievements in cell biology</w:t>
      </w:r>
    </w:p>
    <w:p w14:paraId="17A71987" w14:textId="14E59DFB" w:rsidR="00EC2B84" w:rsidRPr="00EC2B84" w:rsidRDefault="00EC2B84" w:rsidP="00EC2B84">
      <w:pPr>
        <w:pStyle w:val="DataField11pt-Single"/>
      </w:pPr>
      <w:r w:rsidRPr="00EC2B84">
        <w:t>2020</w:t>
      </w:r>
      <w:r w:rsidRPr="00EC2B84">
        <w:tab/>
        <w:t>Wiley prize for Biomedical research</w:t>
      </w:r>
    </w:p>
    <w:p w14:paraId="008AFE21" w14:textId="400BBEE6" w:rsidR="00EC2B84" w:rsidRPr="00EC2B84" w:rsidRDefault="00EC2B84" w:rsidP="00EC2B84">
      <w:pPr>
        <w:pStyle w:val="DataField11pt-Single"/>
      </w:pPr>
      <w:r w:rsidRPr="00EC2B84">
        <w:t>2020</w:t>
      </w:r>
      <w:r>
        <w:t xml:space="preserve">    </w:t>
      </w:r>
      <w:r w:rsidRPr="00EC2B84">
        <w:t>ASCB Keith Porter Lecture</w:t>
      </w:r>
    </w:p>
    <w:p w14:paraId="6F43E04C" w14:textId="1DA74EEE" w:rsidR="00EC2B84" w:rsidRPr="00EC2B84" w:rsidRDefault="00EC2B84" w:rsidP="00EC2B84">
      <w:pPr>
        <w:pStyle w:val="DataField11pt-Single"/>
      </w:pPr>
      <w:r w:rsidRPr="00EC2B84">
        <w:t>2021</w:t>
      </w:r>
      <w:r>
        <w:t xml:space="preserve">    </w:t>
      </w:r>
      <w:r w:rsidRPr="00EC2B84">
        <w:t>HFSP Nakasone Award</w:t>
      </w:r>
    </w:p>
    <w:p w14:paraId="1A00B92D" w14:textId="17828F66" w:rsidR="00EC2B84" w:rsidRPr="00EC2B84" w:rsidRDefault="00EC2B84" w:rsidP="00EC2B84">
      <w:pPr>
        <w:pStyle w:val="DataField11pt-Single"/>
      </w:pPr>
      <w:r w:rsidRPr="00EC2B84">
        <w:t>2022</w:t>
      </w:r>
      <w:r>
        <w:t xml:space="preserve">    </w:t>
      </w:r>
      <w:r w:rsidRPr="00EC2B84">
        <w:t>Körber science prize</w:t>
      </w:r>
    </w:p>
    <w:p w14:paraId="28CCB237" w14:textId="73C10F65" w:rsidR="00EC2B84" w:rsidRPr="00EC2B84" w:rsidRDefault="00EC2B84" w:rsidP="00EC2B84">
      <w:pPr>
        <w:pStyle w:val="DataField11pt-Single"/>
      </w:pPr>
      <w:r w:rsidRPr="00EC2B84">
        <w:t>2023</w:t>
      </w:r>
      <w:r>
        <w:t xml:space="preserve">    </w:t>
      </w:r>
      <w:r w:rsidRPr="00EC2B84">
        <w:t>Breakthrough prize (together with Cliff Brangwynne)</w:t>
      </w:r>
    </w:p>
    <w:p w14:paraId="408944DF" w14:textId="77777777" w:rsidR="00EC2B84" w:rsidRPr="000B5D26" w:rsidRDefault="00EC2B84" w:rsidP="00493FA0">
      <w:pPr>
        <w:pStyle w:val="DataField11pt-Single"/>
      </w:pPr>
    </w:p>
    <w:p w14:paraId="15070D4B" w14:textId="77777777" w:rsidR="00493FA0" w:rsidRPr="00A128A0" w:rsidRDefault="00493FA0" w:rsidP="00493FA0">
      <w:pPr>
        <w:pStyle w:val="DataField11pt-Single"/>
        <w:rPr>
          <w:rStyle w:val="Strong"/>
        </w:rPr>
      </w:pPr>
    </w:p>
    <w:p w14:paraId="071D0272" w14:textId="77777777" w:rsidR="0068089C" w:rsidRDefault="00493FA0" w:rsidP="004F0196">
      <w:pPr>
        <w:ind w:right="-205"/>
        <w:rPr>
          <w:szCs w:val="22"/>
        </w:rPr>
      </w:pPr>
      <w:r w:rsidRPr="00A128A0">
        <w:rPr>
          <w:rStyle w:val="Strong"/>
        </w:rPr>
        <w:t>C.</w:t>
      </w:r>
      <w:r w:rsidRPr="00A128A0">
        <w:rPr>
          <w:rStyle w:val="Strong"/>
        </w:rPr>
        <w:tab/>
        <w:t>Contributions to Science</w:t>
      </w:r>
      <w:r>
        <w:rPr>
          <w:rStyle w:val="Strong"/>
        </w:rPr>
        <w:br/>
      </w:r>
    </w:p>
    <w:p w14:paraId="3CC85173" w14:textId="1CA65B66" w:rsidR="00493FA0" w:rsidRDefault="00493FA0" w:rsidP="004F0196">
      <w:pPr>
        <w:ind w:right="-205"/>
        <w:jc w:val="both"/>
        <w:rPr>
          <w:szCs w:val="22"/>
        </w:rPr>
      </w:pPr>
      <w:r w:rsidRPr="008D3BD0">
        <w:rPr>
          <w:szCs w:val="22"/>
        </w:rPr>
        <w:t>Dr Anthony A (Tony) Hyman works at the interface between basic cell biology and embryology.  He has made significant contributions to our understanding of how cel</w:t>
      </w:r>
      <w:r w:rsidR="0068089C">
        <w:rPr>
          <w:szCs w:val="22"/>
        </w:rPr>
        <w:t xml:space="preserve">ls organize their biochemistry.  </w:t>
      </w:r>
      <w:r w:rsidRPr="008D3BD0">
        <w:rPr>
          <w:szCs w:val="22"/>
        </w:rPr>
        <w:t xml:space="preserve">Hyman began his career as a PhD student at the LMB in Cambridge, in Sydney Brenner’s </w:t>
      </w:r>
      <w:r w:rsidRPr="008D3BD0">
        <w:rPr>
          <w:i/>
          <w:szCs w:val="22"/>
        </w:rPr>
        <w:t>C.elegans</w:t>
      </w:r>
      <w:r w:rsidRPr="008D3BD0">
        <w:rPr>
          <w:szCs w:val="22"/>
        </w:rPr>
        <w:t xml:space="preserve"> group, under the supervision of John White. There, </w:t>
      </w:r>
      <w:r w:rsidR="0068089C">
        <w:rPr>
          <w:szCs w:val="22"/>
        </w:rPr>
        <w:t xml:space="preserve">in 1984 </w:t>
      </w:r>
      <w:r w:rsidRPr="008D3BD0">
        <w:rPr>
          <w:szCs w:val="22"/>
        </w:rPr>
        <w:t>he published a paper on orientation of the cell division axes during the early cell divisions of C.elegans embryos using microscopy and microsurgery</w:t>
      </w:r>
      <w:r w:rsidR="0068089C">
        <w:rPr>
          <w:szCs w:val="22"/>
        </w:rPr>
        <w:t xml:space="preserve"> that is still cited today</w:t>
      </w:r>
      <w:r w:rsidRPr="008D3BD0">
        <w:rPr>
          <w:szCs w:val="22"/>
        </w:rPr>
        <w:t xml:space="preserve"> (1).</w:t>
      </w:r>
    </w:p>
    <w:p w14:paraId="3B1BA467" w14:textId="77777777" w:rsidR="00025DA4" w:rsidRDefault="00025DA4" w:rsidP="004F0196">
      <w:pPr>
        <w:ind w:right="-205"/>
        <w:jc w:val="both"/>
        <w:rPr>
          <w:szCs w:val="22"/>
        </w:rPr>
      </w:pPr>
    </w:p>
    <w:p w14:paraId="217DEB42" w14:textId="77777777" w:rsidR="000F74D7" w:rsidRDefault="000F74D7" w:rsidP="000F74D7">
      <w:pPr>
        <w:numPr>
          <w:ilvl w:val="0"/>
          <w:numId w:val="19"/>
        </w:numPr>
        <w:autoSpaceDE/>
        <w:autoSpaceDN/>
        <w:rPr>
          <w:sz w:val="20"/>
        </w:rPr>
      </w:pPr>
      <w:r w:rsidRPr="00F87C4D">
        <w:rPr>
          <w:sz w:val="20"/>
        </w:rPr>
        <w:t xml:space="preserve">Hyman, A.A. and White, J.G. (1988)  Determination of cell division axes in the early embryogenesis of Caenorhabditis elegans.  J. Cell Biol. </w:t>
      </w:r>
      <w:r w:rsidRPr="00F87C4D">
        <w:rPr>
          <w:b/>
          <w:sz w:val="20"/>
        </w:rPr>
        <w:t>105</w:t>
      </w:r>
      <w:r w:rsidRPr="00F87C4D">
        <w:rPr>
          <w:sz w:val="20"/>
        </w:rPr>
        <w:t>:2123-2135</w:t>
      </w:r>
    </w:p>
    <w:p w14:paraId="76A65804" w14:textId="77777777" w:rsidR="00DB3B87" w:rsidRDefault="00DB3B87" w:rsidP="00493FA0">
      <w:pPr>
        <w:jc w:val="both"/>
        <w:rPr>
          <w:szCs w:val="22"/>
        </w:rPr>
      </w:pPr>
    </w:p>
    <w:p w14:paraId="78BD73A3" w14:textId="3AFDC5FA" w:rsidR="00493FA0" w:rsidRDefault="00493FA0" w:rsidP="00493FA0">
      <w:pPr>
        <w:jc w:val="both"/>
        <w:rPr>
          <w:szCs w:val="22"/>
        </w:rPr>
      </w:pPr>
      <w:r w:rsidRPr="008D3BD0">
        <w:rPr>
          <w:szCs w:val="22"/>
        </w:rPr>
        <w:t xml:space="preserve">Hyman next pursued post-doctoral research in the laboratory of Tim Mitchison at the University of San Francisco CA. There, he probed the interaction between microtubules and chromosomes that give rise to the mitotic forces that segregate chromosomes. He set up real-time microscopy assays to study this interface that were </w:t>
      </w:r>
      <w:r w:rsidR="00D86D8F">
        <w:rPr>
          <w:szCs w:val="22"/>
        </w:rPr>
        <w:t>a significant</w:t>
      </w:r>
      <w:r w:rsidRPr="008D3BD0">
        <w:rPr>
          <w:szCs w:val="22"/>
        </w:rPr>
        <w:t xml:space="preserve"> technical achievement, and discovered the presence of motor proteins at kinetochores in both mammalian and yeast systems (2).  During his post doc, Hyman made and characterized a number of important tools for studying microtubule dynamics that are still in constant use, including the non-hydrolyzeable GTP analog GMPCPP, various fluorescent tubulin derivatives, and assays for motors and microtubule polarity. Hyman’s work with GMPCPP confirmed the dynamic instability hypothesis (3), and ignited his interest in the mechanism of microtubule polymerization dynamics, a field in which he has made m</w:t>
      </w:r>
      <w:r w:rsidR="00E23CDF">
        <w:rPr>
          <w:szCs w:val="22"/>
        </w:rPr>
        <w:t xml:space="preserve">any subsequent contributions.  </w:t>
      </w:r>
      <w:r w:rsidRPr="008D3BD0">
        <w:rPr>
          <w:szCs w:val="22"/>
        </w:rPr>
        <w:t xml:space="preserve">After starting his first independent group at the EMBL, </w:t>
      </w:r>
      <w:r w:rsidR="00B359BF">
        <w:rPr>
          <w:szCs w:val="22"/>
        </w:rPr>
        <w:t>he</w:t>
      </w:r>
      <w:r w:rsidRPr="008D3BD0">
        <w:rPr>
          <w:szCs w:val="22"/>
        </w:rPr>
        <w:t xml:space="preserve"> worked on the structural basis of microtubule dynamics, and how these dynamics are regulated by protein factors.  </w:t>
      </w:r>
      <w:r w:rsidR="008E2509">
        <w:rPr>
          <w:szCs w:val="22"/>
        </w:rPr>
        <w:t xml:space="preserve">He </w:t>
      </w:r>
      <w:r w:rsidRPr="008D3BD0">
        <w:rPr>
          <w:szCs w:val="22"/>
        </w:rPr>
        <w:t xml:space="preserve"> addressed the first question using cryo-electron microscopy, publishing a significant paper that showed how GTP hydrolysis destabilizes microtubules by causing protofilaments to curl up, thus unpeeling the lattice li</w:t>
      </w:r>
      <w:r w:rsidR="00C21E7C">
        <w:rPr>
          <w:szCs w:val="22"/>
        </w:rPr>
        <w:t xml:space="preserve">ke a banana skin (4,5) </w:t>
      </w:r>
      <w:r w:rsidRPr="008D3BD0">
        <w:rPr>
          <w:szCs w:val="22"/>
        </w:rPr>
        <w:t>In 2001 he published a paper reconstituting fast dynamic instability with pure proteins for the first time, using factors he had previously i</w:t>
      </w:r>
      <w:r w:rsidR="004879C2">
        <w:rPr>
          <w:szCs w:val="22"/>
        </w:rPr>
        <w:t>dentified in Xenopus extracts (6</w:t>
      </w:r>
      <w:r w:rsidRPr="008D3BD0">
        <w:rPr>
          <w:szCs w:val="22"/>
        </w:rPr>
        <w:t>).</w:t>
      </w:r>
    </w:p>
    <w:p w14:paraId="55236D67" w14:textId="77777777" w:rsidR="000F74D7" w:rsidRDefault="000F74D7" w:rsidP="00493FA0">
      <w:pPr>
        <w:jc w:val="both"/>
        <w:rPr>
          <w:szCs w:val="22"/>
        </w:rPr>
      </w:pPr>
    </w:p>
    <w:p w14:paraId="79E196A1" w14:textId="77777777" w:rsidR="000F74D7" w:rsidRDefault="000F74D7" w:rsidP="000F74D7">
      <w:pPr>
        <w:numPr>
          <w:ilvl w:val="0"/>
          <w:numId w:val="19"/>
        </w:numPr>
        <w:autoSpaceDE/>
        <w:autoSpaceDN/>
        <w:rPr>
          <w:sz w:val="20"/>
        </w:rPr>
      </w:pPr>
      <w:r w:rsidRPr="00F87C4D">
        <w:rPr>
          <w:sz w:val="20"/>
        </w:rPr>
        <w:t xml:space="preserve">Hyman , A.A. and Mitchison, T.J. (1991).  Two different microtubule-based motor activities with opposite polarities in kinetochores.  Nature </w:t>
      </w:r>
      <w:r w:rsidRPr="00F87C4D">
        <w:rPr>
          <w:b/>
          <w:sz w:val="20"/>
        </w:rPr>
        <w:t>351</w:t>
      </w:r>
      <w:r w:rsidRPr="00F87C4D">
        <w:rPr>
          <w:sz w:val="20"/>
        </w:rPr>
        <w:t>:206-211</w:t>
      </w:r>
    </w:p>
    <w:p w14:paraId="5E5C9699" w14:textId="77777777" w:rsidR="000F74D7" w:rsidRDefault="000F74D7" w:rsidP="000F74D7">
      <w:pPr>
        <w:numPr>
          <w:ilvl w:val="0"/>
          <w:numId w:val="19"/>
        </w:numPr>
        <w:autoSpaceDE/>
        <w:autoSpaceDN/>
        <w:rPr>
          <w:sz w:val="20"/>
        </w:rPr>
      </w:pPr>
      <w:r w:rsidRPr="00186A87">
        <w:rPr>
          <w:sz w:val="20"/>
        </w:rPr>
        <w:t>Hyman, A.A., Salser</w:t>
      </w:r>
      <w:r w:rsidRPr="00186A87">
        <w:rPr>
          <w:position w:val="8"/>
          <w:sz w:val="20"/>
        </w:rPr>
        <w:t xml:space="preserve"> </w:t>
      </w:r>
      <w:r w:rsidRPr="00186A87">
        <w:rPr>
          <w:sz w:val="20"/>
        </w:rPr>
        <w:t>S., Drechsel, D.,</w:t>
      </w:r>
      <w:r w:rsidRPr="00186A87">
        <w:rPr>
          <w:position w:val="8"/>
          <w:sz w:val="20"/>
        </w:rPr>
        <w:t xml:space="preserve"> </w:t>
      </w:r>
      <w:r w:rsidRPr="00186A87">
        <w:rPr>
          <w:sz w:val="20"/>
        </w:rPr>
        <w:t xml:space="preserve">Unwin N., and  Mitchison T.J.. (1992)  The role of GTP hydrolysis in microtubule dynamics: Information from a slowly-hydrolyzeable analogue, GMPCPP.  Mol. Biol of Cell. </w:t>
      </w:r>
      <w:r w:rsidRPr="00186A87">
        <w:rPr>
          <w:b/>
          <w:sz w:val="20"/>
        </w:rPr>
        <w:t>3</w:t>
      </w:r>
      <w:r w:rsidRPr="00186A87">
        <w:rPr>
          <w:sz w:val="20"/>
        </w:rPr>
        <w:t>: 1155-116</w:t>
      </w:r>
    </w:p>
    <w:p w14:paraId="210A4C04" w14:textId="77777777" w:rsidR="000F74D7" w:rsidRDefault="000F74D7" w:rsidP="000F74D7">
      <w:pPr>
        <w:numPr>
          <w:ilvl w:val="0"/>
          <w:numId w:val="19"/>
        </w:numPr>
        <w:autoSpaceDE/>
        <w:autoSpaceDN/>
        <w:rPr>
          <w:sz w:val="20"/>
        </w:rPr>
      </w:pPr>
      <w:r w:rsidRPr="00186A87">
        <w:rPr>
          <w:sz w:val="20"/>
        </w:rPr>
        <w:t xml:space="preserve">Hyman, A.A Chretian, C. Arnal, I and Wade R. (1995).  Structural changes accompanying GTP hydrolysis in microtubules: information from a slowly hydrolyzable analogue GMPCPP.  J. Cell Biol. </w:t>
      </w:r>
      <w:r w:rsidRPr="00186A87">
        <w:rPr>
          <w:b/>
          <w:sz w:val="20"/>
        </w:rPr>
        <w:t>128:</w:t>
      </w:r>
      <w:r w:rsidRPr="00186A87">
        <w:rPr>
          <w:sz w:val="20"/>
        </w:rPr>
        <w:t xml:space="preserve">  117-125</w:t>
      </w:r>
    </w:p>
    <w:p w14:paraId="23130687" w14:textId="5CD5096F" w:rsidR="000F74D7" w:rsidRDefault="000F74D7" w:rsidP="000F74D7">
      <w:pPr>
        <w:numPr>
          <w:ilvl w:val="0"/>
          <w:numId w:val="19"/>
        </w:numPr>
        <w:autoSpaceDE/>
        <w:autoSpaceDN/>
        <w:rPr>
          <w:sz w:val="20"/>
        </w:rPr>
      </w:pPr>
      <w:r w:rsidRPr="00186A87">
        <w:rPr>
          <w:sz w:val="20"/>
        </w:rPr>
        <w:t>Mueller T.  Chretien D, Severin F. and Hyman A.A.  (1998</w:t>
      </w:r>
      <w:r w:rsidR="004D74C9">
        <w:rPr>
          <w:sz w:val="20"/>
        </w:rPr>
        <w:t>)</w:t>
      </w:r>
      <w:r w:rsidRPr="00186A87">
        <w:rPr>
          <w:sz w:val="20"/>
        </w:rPr>
        <w:t xml:space="preserve">. Structural changes at microtubule ends accompanying GTP hydrolysis: information from a slowly hydrolyzeable analogue of GTP, GMPCPP.   PNAS </w:t>
      </w:r>
      <w:r w:rsidRPr="00186A87">
        <w:rPr>
          <w:b/>
          <w:sz w:val="20"/>
        </w:rPr>
        <w:t>95:</w:t>
      </w:r>
      <w:r w:rsidRPr="00186A87">
        <w:rPr>
          <w:sz w:val="20"/>
        </w:rPr>
        <w:t xml:space="preserve"> 3661-3666</w:t>
      </w:r>
    </w:p>
    <w:p w14:paraId="2BEE310D" w14:textId="0F99B312" w:rsidR="000F74D7" w:rsidRDefault="000F74D7" w:rsidP="000F74D7">
      <w:pPr>
        <w:numPr>
          <w:ilvl w:val="0"/>
          <w:numId w:val="19"/>
        </w:numPr>
        <w:autoSpaceDE/>
        <w:autoSpaceDN/>
        <w:rPr>
          <w:sz w:val="20"/>
        </w:rPr>
      </w:pPr>
      <w:r w:rsidRPr="00917BAA">
        <w:rPr>
          <w:sz w:val="20"/>
          <w:lang w:val="en-GB"/>
        </w:rPr>
        <w:t xml:space="preserve">Kinoshita, K, Isabelle Arnal, Arshad Desai, David N. Drechsel, and Anthony A. Hyman (2001). </w:t>
      </w:r>
      <w:r w:rsidRPr="00186A87">
        <w:rPr>
          <w:sz w:val="20"/>
        </w:rPr>
        <w:t xml:space="preserve">Reconstitution of Physiological Microtubule Dynamics Using Purified Components. Science </w:t>
      </w:r>
      <w:r w:rsidRPr="00186A87">
        <w:rPr>
          <w:b/>
          <w:sz w:val="20"/>
        </w:rPr>
        <w:t>294</w:t>
      </w:r>
      <w:r w:rsidRPr="00186A87">
        <w:rPr>
          <w:sz w:val="20"/>
        </w:rPr>
        <w:t>: 1340-1343</w:t>
      </w:r>
    </w:p>
    <w:p w14:paraId="4B28DE36" w14:textId="77777777" w:rsidR="000F74D7" w:rsidRPr="008D3BD0" w:rsidRDefault="000F74D7" w:rsidP="00493FA0">
      <w:pPr>
        <w:jc w:val="both"/>
        <w:rPr>
          <w:szCs w:val="22"/>
        </w:rPr>
      </w:pPr>
    </w:p>
    <w:p w14:paraId="1B253806" w14:textId="10BF6A6C" w:rsidR="004D74C9" w:rsidRDefault="004D74C9" w:rsidP="00493FA0">
      <w:pPr>
        <w:jc w:val="both"/>
        <w:rPr>
          <w:szCs w:val="22"/>
        </w:rPr>
      </w:pPr>
      <w:r>
        <w:rPr>
          <w:szCs w:val="22"/>
        </w:rPr>
        <w:t>Hyman followed up on this work to understand the mechanism of microtubule polymerization together with Steve Harrison and Joe Howard, using structural biology based mutagenesis to establish a direct relationship between binding of XMAP215 to tubulin and rate of microtubule polymerization.</w:t>
      </w:r>
    </w:p>
    <w:p w14:paraId="5A64FD3F" w14:textId="77777777" w:rsidR="004D74C9" w:rsidRDefault="004D74C9" w:rsidP="00493FA0">
      <w:pPr>
        <w:jc w:val="both"/>
        <w:rPr>
          <w:szCs w:val="22"/>
        </w:rPr>
      </w:pPr>
    </w:p>
    <w:p w14:paraId="10BAF0E2" w14:textId="0EEF4317" w:rsidR="004D74C9" w:rsidRDefault="004D74C9" w:rsidP="004D74C9">
      <w:pPr>
        <w:pStyle w:val="ListParagraph"/>
        <w:numPr>
          <w:ilvl w:val="0"/>
          <w:numId w:val="19"/>
        </w:numPr>
        <w:jc w:val="both"/>
        <w:rPr>
          <w:szCs w:val="22"/>
        </w:rPr>
      </w:pPr>
      <w:r w:rsidRPr="004D74C9">
        <w:rPr>
          <w:szCs w:val="22"/>
        </w:rPr>
        <w:t>Brouhard, G. J., Stear, J. H., Noetzel, T. L., Al-Bassam, J., Kinoshita, K., Harrison, S. C., Howard, J., and Hyman, A. A. (2008). XMAP215 is a processive microtubule polymerase. Cell 132: 79–88.</w:t>
      </w:r>
    </w:p>
    <w:p w14:paraId="26B37B42" w14:textId="4DBB0E8A" w:rsidR="004D74C9" w:rsidRDefault="004D74C9" w:rsidP="004D74C9">
      <w:pPr>
        <w:pStyle w:val="ListParagraph"/>
        <w:numPr>
          <w:ilvl w:val="0"/>
          <w:numId w:val="19"/>
        </w:numPr>
        <w:jc w:val="both"/>
        <w:rPr>
          <w:szCs w:val="22"/>
        </w:rPr>
      </w:pPr>
      <w:r w:rsidRPr="004D74C9">
        <w:rPr>
          <w:szCs w:val="22"/>
        </w:rPr>
        <w:t>Widlund, P. O., Stear, J. H., Pozniakovsky, A., Zanic, M., Reber, S., Brouhard, G. J., Hyman, A. A., and Howard, J. (2011). XMAP215 polymerase activity is built by combining multiple tubulin-binding TOG domains and a basic lattice-binding region. Nature Cell Biology 13: 461–468.</w:t>
      </w:r>
    </w:p>
    <w:p w14:paraId="65A15946" w14:textId="052B34E2" w:rsidR="004D74C9" w:rsidRPr="004D74C9" w:rsidRDefault="004D74C9" w:rsidP="004D74C9">
      <w:pPr>
        <w:pStyle w:val="ListParagraph"/>
        <w:numPr>
          <w:ilvl w:val="0"/>
          <w:numId w:val="19"/>
        </w:numPr>
        <w:jc w:val="both"/>
        <w:rPr>
          <w:szCs w:val="22"/>
        </w:rPr>
      </w:pPr>
      <w:r w:rsidRPr="004D74C9">
        <w:rPr>
          <w:szCs w:val="22"/>
          <w:lang w:val="de-DE"/>
        </w:rPr>
        <w:t xml:space="preserve">Reber, S. B., Baumgart, J., Widlund, P. O., Pozniakovsky, A., Howard, J., Hyman, A. A., and Jülicher, F. (2013). </w:t>
      </w:r>
      <w:r w:rsidRPr="004D74C9">
        <w:rPr>
          <w:szCs w:val="22"/>
        </w:rPr>
        <w:t>XMAP215 activity sets spindle length by controlling the total mass of spindle microtubules. Nature Cell Biology 15: 1116–1122.</w:t>
      </w:r>
    </w:p>
    <w:p w14:paraId="0A70FCC3" w14:textId="77777777" w:rsidR="004D74C9" w:rsidRDefault="004D74C9" w:rsidP="00493FA0">
      <w:pPr>
        <w:jc w:val="both"/>
        <w:rPr>
          <w:szCs w:val="22"/>
        </w:rPr>
      </w:pPr>
    </w:p>
    <w:p w14:paraId="7A876146" w14:textId="7DE30CDA" w:rsidR="00493FA0" w:rsidRDefault="00493FA0" w:rsidP="00493FA0">
      <w:pPr>
        <w:jc w:val="both"/>
        <w:rPr>
          <w:szCs w:val="22"/>
        </w:rPr>
      </w:pPr>
      <w:r w:rsidRPr="008D3BD0" w:rsidDel="006342A5">
        <w:rPr>
          <w:szCs w:val="22"/>
        </w:rPr>
        <w:t>While at EMBL,</w:t>
      </w:r>
      <w:r w:rsidRPr="008D3BD0">
        <w:rPr>
          <w:szCs w:val="22"/>
        </w:rPr>
        <w:t xml:space="preserve"> he worked closely with Dr Eric Karsenti:  Their shared work had a major influence on our current understanding of how a meiotic spindle can self-assemble, and by extension, illuminated principles for self organization of the cytoplasm more generally.   The hypothesis for how spindles assembled at that time was dominated by centrosome nucleation, microtubule search by dynamic instability, and capture by kinetochores.  Hyman, Karsenti, Heald and co-workers showed that in egg meiotic spindles, nucleation occurs around chromosomes, and then the spindle self-organized using motor proteins as well as local modul</w:t>
      </w:r>
      <w:r w:rsidR="004879C2">
        <w:rPr>
          <w:szCs w:val="22"/>
        </w:rPr>
        <w:t>ation of microtubule dynamics (7</w:t>
      </w:r>
      <w:r w:rsidR="000F74D7">
        <w:rPr>
          <w:szCs w:val="22"/>
        </w:rPr>
        <w:t>).</w:t>
      </w:r>
    </w:p>
    <w:p w14:paraId="7D6889D4" w14:textId="77777777" w:rsidR="000F74D7" w:rsidRDefault="000F74D7" w:rsidP="00493FA0">
      <w:pPr>
        <w:jc w:val="both"/>
        <w:rPr>
          <w:szCs w:val="22"/>
        </w:rPr>
      </w:pPr>
    </w:p>
    <w:p w14:paraId="79E09B7F" w14:textId="77777777" w:rsidR="000F74D7" w:rsidRDefault="000F74D7" w:rsidP="000F74D7">
      <w:pPr>
        <w:numPr>
          <w:ilvl w:val="0"/>
          <w:numId w:val="19"/>
        </w:numPr>
        <w:autoSpaceDE/>
        <w:autoSpaceDN/>
        <w:rPr>
          <w:sz w:val="20"/>
        </w:rPr>
      </w:pPr>
      <w:r w:rsidRPr="00186A87">
        <w:rPr>
          <w:sz w:val="20"/>
        </w:rPr>
        <w:t xml:space="preserve">Heald,  R.  Tournebize, R.  Blank, T.  Sandaltzopoulos, R.  Becker, P.  Hyman, A and Karsenti, E.  (1996).  Self-organization of microtubules into bipolar spindles around artificial chromosomes in Xenopus egg extracts.  Nature </w:t>
      </w:r>
      <w:r w:rsidRPr="00186A87">
        <w:rPr>
          <w:b/>
          <w:sz w:val="20"/>
        </w:rPr>
        <w:t>382:</w:t>
      </w:r>
      <w:r w:rsidRPr="00186A87">
        <w:rPr>
          <w:sz w:val="20"/>
        </w:rPr>
        <w:t xml:space="preserve"> 420-425.</w:t>
      </w:r>
    </w:p>
    <w:p w14:paraId="78DE0E89" w14:textId="77777777" w:rsidR="000F74D7" w:rsidRPr="008D3BD0" w:rsidRDefault="000F74D7" w:rsidP="00493FA0">
      <w:pPr>
        <w:jc w:val="both"/>
        <w:rPr>
          <w:szCs w:val="22"/>
        </w:rPr>
      </w:pPr>
    </w:p>
    <w:p w14:paraId="74E74D63" w14:textId="2BE2DB72" w:rsidR="00493FA0" w:rsidRDefault="00493FA0" w:rsidP="00493FA0">
      <w:pPr>
        <w:jc w:val="both"/>
        <w:rPr>
          <w:szCs w:val="22"/>
        </w:rPr>
      </w:pPr>
      <w:r w:rsidRPr="008D3BD0">
        <w:rPr>
          <w:szCs w:val="22"/>
        </w:rPr>
        <w:t>Soon after starting at EMBL, Hyman initiated a</w:t>
      </w:r>
      <w:r w:rsidR="00C21E7C">
        <w:rPr>
          <w:szCs w:val="22"/>
        </w:rPr>
        <w:t xml:space="preserve"> program in </w:t>
      </w:r>
      <w:r w:rsidR="00C21E7C" w:rsidRPr="00F461FD">
        <w:rPr>
          <w:i/>
          <w:szCs w:val="22"/>
        </w:rPr>
        <w:t>C elegans</w:t>
      </w:r>
      <w:r w:rsidR="00C21E7C">
        <w:rPr>
          <w:szCs w:val="22"/>
        </w:rPr>
        <w:t xml:space="preserve"> embryology. </w:t>
      </w:r>
      <w:r w:rsidR="00AB7C46">
        <w:rPr>
          <w:szCs w:val="22"/>
        </w:rPr>
        <w:t xml:space="preserve">He </w:t>
      </w:r>
      <w:r w:rsidRPr="008D3BD0">
        <w:rPr>
          <w:szCs w:val="22"/>
        </w:rPr>
        <w:t>established two main lines of research in this area. One was a direct continuation of the ideas from his PhD, using increasingly sophisticated laser microsurgery to create abnormal distribution of forces in the cytoplasm, and inferring the distribution of forces from the ensuing behavior (8). He published two important papers using these methods. In a 2003 Science paper Grill and Hyman described the forces acting on microtubules at the cortex in detail. This elegant study borrowed ideas from classic work on ion channels that had not before been used to study the cytoskeleton (</w:t>
      </w:r>
      <w:r w:rsidR="006D2A3D">
        <w:rPr>
          <w:szCs w:val="22"/>
        </w:rPr>
        <w:t>8,</w:t>
      </w:r>
      <w:r w:rsidRPr="008D3BD0">
        <w:rPr>
          <w:szCs w:val="22"/>
        </w:rPr>
        <w:t>9). In a 2005 Nature paper, Bringmann and Hyman showed that both asters and spindle midzones send parallel signals to the cortex to induce cleavage furrows (10). Normally these signals overlap in time and space, but laser surgery allowed them to be separated for analysis. This paper resolve</w:t>
      </w:r>
      <w:r w:rsidR="004D74C9">
        <w:rPr>
          <w:szCs w:val="22"/>
        </w:rPr>
        <w:t>d</w:t>
      </w:r>
      <w:r w:rsidRPr="008D3BD0">
        <w:rPr>
          <w:szCs w:val="22"/>
        </w:rPr>
        <w:t xml:space="preserve"> a long-standing controversy in cytokinesis mechanism, and should allow molecular dissection of two parallel pathways in cytokinesis. </w:t>
      </w:r>
    </w:p>
    <w:p w14:paraId="2E07BD1B" w14:textId="77777777" w:rsidR="000F74D7" w:rsidRDefault="000F74D7" w:rsidP="00493FA0">
      <w:pPr>
        <w:jc w:val="both"/>
        <w:rPr>
          <w:szCs w:val="22"/>
        </w:rPr>
      </w:pPr>
    </w:p>
    <w:p w14:paraId="4B3A74A6" w14:textId="77777777" w:rsidR="000F74D7" w:rsidRDefault="000F74D7" w:rsidP="000F74D7">
      <w:pPr>
        <w:numPr>
          <w:ilvl w:val="0"/>
          <w:numId w:val="19"/>
        </w:numPr>
        <w:autoSpaceDE/>
        <w:autoSpaceDN/>
        <w:rPr>
          <w:sz w:val="20"/>
        </w:rPr>
      </w:pPr>
      <w:r w:rsidRPr="00186A87">
        <w:rPr>
          <w:sz w:val="20"/>
        </w:rPr>
        <w:t xml:space="preserve">Grill, S.  Gonczy P.  Stelzer, E and Hyman A.A. (2001) Polarity controls forces governing asymmetric spindle positioning in the Caenorhabditis elegans embryo. Nature </w:t>
      </w:r>
      <w:r w:rsidRPr="00186A87">
        <w:rPr>
          <w:b/>
          <w:sz w:val="20"/>
        </w:rPr>
        <w:t>409:</w:t>
      </w:r>
      <w:r w:rsidRPr="00186A87">
        <w:rPr>
          <w:sz w:val="20"/>
        </w:rPr>
        <w:t xml:space="preserve"> 630-633</w:t>
      </w:r>
    </w:p>
    <w:p w14:paraId="1C99EB09" w14:textId="77777777" w:rsidR="000F74D7" w:rsidRPr="006F3259" w:rsidRDefault="000F74D7" w:rsidP="000F74D7">
      <w:pPr>
        <w:numPr>
          <w:ilvl w:val="0"/>
          <w:numId w:val="19"/>
        </w:numPr>
        <w:autoSpaceDE/>
        <w:autoSpaceDN/>
        <w:rPr>
          <w:sz w:val="20"/>
        </w:rPr>
      </w:pPr>
      <w:r w:rsidRPr="006F3259">
        <w:rPr>
          <w:sz w:val="20"/>
          <w:lang w:val="de-DE"/>
        </w:rPr>
        <w:t xml:space="preserve">Grill SW, Howard J, Schaffer E, Stelzer EH, Hyman AA. </w:t>
      </w:r>
      <w:r w:rsidRPr="006F3259">
        <w:rPr>
          <w:sz w:val="20"/>
        </w:rPr>
        <w:t xml:space="preserve">(2003). The distribution of active force generators controls mitotic spindle position. Science. </w:t>
      </w:r>
      <w:r w:rsidRPr="006F3259">
        <w:rPr>
          <w:b/>
          <w:sz w:val="20"/>
        </w:rPr>
        <w:t>301:</w:t>
      </w:r>
      <w:r w:rsidRPr="006F3259">
        <w:rPr>
          <w:sz w:val="20"/>
        </w:rPr>
        <w:t xml:space="preserve"> 518-521. </w:t>
      </w:r>
    </w:p>
    <w:p w14:paraId="57DA6CDE" w14:textId="77777777" w:rsidR="000F74D7" w:rsidRDefault="000F74D7" w:rsidP="000F74D7">
      <w:pPr>
        <w:numPr>
          <w:ilvl w:val="0"/>
          <w:numId w:val="19"/>
        </w:numPr>
        <w:autoSpaceDE/>
        <w:autoSpaceDN/>
        <w:rPr>
          <w:sz w:val="20"/>
        </w:rPr>
      </w:pPr>
      <w:r w:rsidRPr="00F87C4D">
        <w:rPr>
          <w:sz w:val="20"/>
        </w:rPr>
        <w:t xml:space="preserve">Bringmann H and Hyman AA (2005). A cytokinesis furrow is positioned by two consecutive signals. Nature </w:t>
      </w:r>
      <w:r w:rsidRPr="00F87C4D">
        <w:rPr>
          <w:b/>
          <w:sz w:val="20"/>
        </w:rPr>
        <w:t>436:</w:t>
      </w:r>
      <w:r w:rsidRPr="00F87C4D">
        <w:rPr>
          <w:sz w:val="20"/>
        </w:rPr>
        <w:t xml:space="preserve"> 731-734</w:t>
      </w:r>
    </w:p>
    <w:p w14:paraId="2B91AEAA" w14:textId="77777777" w:rsidR="001D59B5" w:rsidRDefault="001D59B5" w:rsidP="00493FA0">
      <w:pPr>
        <w:jc w:val="both"/>
        <w:rPr>
          <w:szCs w:val="22"/>
        </w:rPr>
      </w:pPr>
    </w:p>
    <w:p w14:paraId="1B1166EE" w14:textId="2CF3ABD6" w:rsidR="007424F3" w:rsidRPr="008D3BD0" w:rsidRDefault="00493FA0" w:rsidP="007424F3">
      <w:pPr>
        <w:jc w:val="both"/>
        <w:rPr>
          <w:szCs w:val="22"/>
        </w:rPr>
      </w:pPr>
      <w:r w:rsidRPr="008D3BD0">
        <w:rPr>
          <w:szCs w:val="22"/>
        </w:rPr>
        <w:t xml:space="preserve">Hyman’s second line of research in the C elegans embryo used functional genomics to identify “parts lists” for different cytoplasmic processes, and then uses detailed microscopy and genetics to understand pathways underlying assembly of key mitotic organelles, such as centrosomes and kinetochores.  In two Nature papers (11,12), </w:t>
      </w:r>
      <w:r w:rsidR="0079623E">
        <w:rPr>
          <w:szCs w:val="22"/>
        </w:rPr>
        <w:t>his</w:t>
      </w:r>
      <w:r w:rsidRPr="008D3BD0">
        <w:rPr>
          <w:szCs w:val="22"/>
        </w:rPr>
        <w:t xml:space="preserve"> group, initially alone, then aided by a biotech company he established for this purpose, described the effect of knocking down every protein in the genome, usi</w:t>
      </w:r>
      <w:r w:rsidR="00ED03DC">
        <w:rPr>
          <w:szCs w:val="22"/>
        </w:rPr>
        <w:t xml:space="preserve">ng RNAi and video-microscopy.  </w:t>
      </w:r>
      <w:r w:rsidRPr="008D3BD0">
        <w:rPr>
          <w:szCs w:val="22"/>
        </w:rPr>
        <w:t xml:space="preserve">His screen identified ~90% of the genes whose single loss of function creates defects in cell division (about 700), and for the first time defined the complexity of cell division in a multi-cellular organism. </w:t>
      </w:r>
      <w:r w:rsidR="007424F3">
        <w:rPr>
          <w:szCs w:val="22"/>
        </w:rPr>
        <w:t xml:space="preserve"> His group</w:t>
      </w:r>
      <w:r w:rsidR="007424F3" w:rsidRPr="008D3BD0">
        <w:rPr>
          <w:szCs w:val="22"/>
        </w:rPr>
        <w:t xml:space="preserve"> used these screens to understand molecular and cellular mechanism of centrosome assembly using classic techniques. One series of papers </w:t>
      </w:r>
      <w:r w:rsidR="007424F3">
        <w:rPr>
          <w:szCs w:val="22"/>
        </w:rPr>
        <w:t xml:space="preserve">that came from this work </w:t>
      </w:r>
      <w:r w:rsidR="007424F3" w:rsidRPr="008D3BD0">
        <w:rPr>
          <w:szCs w:val="22"/>
        </w:rPr>
        <w:t>concerns the mechanism by which centrioles replicate, separate and trigger microtubule nucleation. Centriole biology has been interesting s</w:t>
      </w:r>
      <w:r w:rsidR="007424F3">
        <w:rPr>
          <w:szCs w:val="22"/>
        </w:rPr>
        <w:t>ince the days of Boveri, but had</w:t>
      </w:r>
      <w:r w:rsidR="007424F3" w:rsidRPr="008D3BD0">
        <w:rPr>
          <w:szCs w:val="22"/>
        </w:rPr>
        <w:t xml:space="preserve"> largely resisted attack by conventional biochemistry or genetics. Combining genome wide screening, focused protein ablation, light and electron microscopy </w:t>
      </w:r>
      <w:r w:rsidR="007424F3">
        <w:rPr>
          <w:szCs w:val="22"/>
        </w:rPr>
        <w:t>his</w:t>
      </w:r>
      <w:r w:rsidR="007424F3" w:rsidRPr="008D3BD0">
        <w:rPr>
          <w:szCs w:val="22"/>
        </w:rPr>
        <w:t xml:space="preserve"> group discovered the SAS proteins, which lead to the elucidation of a conserved pathway by which centrioles duplicate (13)</w:t>
      </w:r>
      <w:r w:rsidR="00B622F1">
        <w:rPr>
          <w:szCs w:val="22"/>
        </w:rPr>
        <w:t>, as well as the KNL proteins essential for kinetochore assembly.</w:t>
      </w:r>
    </w:p>
    <w:p w14:paraId="1426B071" w14:textId="72AE12BA" w:rsidR="00493FA0" w:rsidRDefault="00493FA0" w:rsidP="00493FA0">
      <w:pPr>
        <w:jc w:val="both"/>
        <w:rPr>
          <w:szCs w:val="22"/>
        </w:rPr>
      </w:pPr>
    </w:p>
    <w:p w14:paraId="1C250038" w14:textId="77777777" w:rsidR="000F74D7" w:rsidRDefault="000F74D7" w:rsidP="00493FA0">
      <w:pPr>
        <w:jc w:val="both"/>
        <w:rPr>
          <w:szCs w:val="22"/>
        </w:rPr>
      </w:pPr>
    </w:p>
    <w:p w14:paraId="5DCCBD2A" w14:textId="77777777" w:rsidR="000F74D7" w:rsidRDefault="000F74D7" w:rsidP="000F74D7">
      <w:pPr>
        <w:numPr>
          <w:ilvl w:val="0"/>
          <w:numId w:val="19"/>
        </w:numPr>
        <w:autoSpaceDE/>
        <w:autoSpaceDN/>
        <w:rPr>
          <w:sz w:val="20"/>
        </w:rPr>
      </w:pPr>
      <w:r w:rsidRPr="00186A87">
        <w:rPr>
          <w:sz w:val="20"/>
        </w:rPr>
        <w:t>Gonczy P, Echeverri G, Oegema K, Coulson A, Jones SJ, Copley RR, Duperon J, Oegema J, Brehm M, Cassin E, Hannak E, Kirkham M, Pichler S, Flohrs K, Goessen A, Leidel S, Alleaume AM, Martin C, Ozlu N, Bork P, Hyman AA. (2000).</w:t>
      </w:r>
      <w:r>
        <w:rPr>
          <w:sz w:val="20"/>
        </w:rPr>
        <w:t xml:space="preserve"> </w:t>
      </w:r>
      <w:r w:rsidRPr="00186A87">
        <w:rPr>
          <w:sz w:val="20"/>
        </w:rPr>
        <w:t xml:space="preserve">Functional genomic analysis of cell division in C.elegans using RNAi of genes on chromosome III. Nature </w:t>
      </w:r>
      <w:r w:rsidRPr="00186A87">
        <w:rPr>
          <w:b/>
          <w:sz w:val="20"/>
        </w:rPr>
        <w:t>408:</w:t>
      </w:r>
      <w:r w:rsidRPr="00186A87">
        <w:rPr>
          <w:sz w:val="20"/>
        </w:rPr>
        <w:t xml:space="preserve"> 331-336.</w:t>
      </w:r>
    </w:p>
    <w:p w14:paraId="1717450B" w14:textId="35A6F9B2" w:rsidR="00493FA0" w:rsidRPr="007424F3" w:rsidRDefault="000F74D7" w:rsidP="007424F3">
      <w:pPr>
        <w:numPr>
          <w:ilvl w:val="0"/>
          <w:numId w:val="19"/>
        </w:numPr>
        <w:autoSpaceDE/>
        <w:autoSpaceDN/>
        <w:rPr>
          <w:sz w:val="20"/>
        </w:rPr>
      </w:pPr>
      <w:r w:rsidRPr="006F3259">
        <w:rPr>
          <w:sz w:val="20"/>
          <w:lang w:val="de-DE"/>
        </w:rPr>
        <w:t>Sonnichsen B</w:t>
      </w:r>
      <w:r w:rsidR="00DF458E">
        <w:rPr>
          <w:sz w:val="20"/>
          <w:lang w:val="de-DE"/>
        </w:rPr>
        <w:t xml:space="preserve"> et al</w:t>
      </w:r>
      <w:r w:rsidRPr="006F3259">
        <w:rPr>
          <w:sz w:val="20"/>
          <w:lang w:val="de-DE"/>
        </w:rPr>
        <w:t xml:space="preserve">, Hyman AA, Echeverri CJ. </w:t>
      </w:r>
      <w:r w:rsidRPr="00F87C4D">
        <w:rPr>
          <w:sz w:val="20"/>
        </w:rPr>
        <w:t xml:space="preserve">(2005). Full-genome RNAi profiling of early embryogenesis in Caenorhabditis elegans. </w:t>
      </w:r>
      <w:r w:rsidRPr="006A4B87">
        <w:rPr>
          <w:sz w:val="20"/>
          <w:lang w:val="de-DE"/>
        </w:rPr>
        <w:t xml:space="preserve">Nature. </w:t>
      </w:r>
      <w:r w:rsidRPr="006A4B87">
        <w:rPr>
          <w:b/>
          <w:sz w:val="20"/>
          <w:lang w:val="de-DE"/>
        </w:rPr>
        <w:t>434</w:t>
      </w:r>
      <w:r w:rsidRPr="006A4B87">
        <w:rPr>
          <w:sz w:val="20"/>
          <w:lang w:val="de-DE"/>
        </w:rPr>
        <w:t>:462-469</w:t>
      </w:r>
    </w:p>
    <w:p w14:paraId="30C498F4" w14:textId="77777777" w:rsidR="00DB4ABA" w:rsidRDefault="00DB4ABA" w:rsidP="00DB4ABA">
      <w:pPr>
        <w:numPr>
          <w:ilvl w:val="0"/>
          <w:numId w:val="19"/>
        </w:numPr>
        <w:autoSpaceDE/>
        <w:autoSpaceDN/>
        <w:rPr>
          <w:sz w:val="20"/>
        </w:rPr>
      </w:pPr>
      <w:r w:rsidRPr="006A4B87">
        <w:rPr>
          <w:sz w:val="20"/>
          <w:lang w:val="de-DE"/>
        </w:rPr>
        <w:t xml:space="preserve">Kirkham M, Mueller-Reichert T, Oegema K, Grill S, Hyman AA (2003). </w:t>
      </w:r>
      <w:r w:rsidRPr="00F87C4D">
        <w:rPr>
          <w:sz w:val="20"/>
        </w:rPr>
        <w:t xml:space="preserve">SAS-4 Is a C. elegans Centriolar Protein that Controls Centrosome Size. Cell </w:t>
      </w:r>
      <w:r w:rsidRPr="00F87C4D">
        <w:rPr>
          <w:b/>
          <w:sz w:val="20"/>
        </w:rPr>
        <w:t>112:</w:t>
      </w:r>
      <w:r w:rsidRPr="00F87C4D">
        <w:rPr>
          <w:sz w:val="20"/>
        </w:rPr>
        <w:t xml:space="preserve"> 575-587</w:t>
      </w:r>
    </w:p>
    <w:p w14:paraId="619C861C" w14:textId="75A8EB40" w:rsidR="00561325" w:rsidRDefault="00561325" w:rsidP="00DB4ABA">
      <w:pPr>
        <w:numPr>
          <w:ilvl w:val="0"/>
          <w:numId w:val="19"/>
        </w:numPr>
        <w:autoSpaceDE/>
        <w:autoSpaceDN/>
        <w:rPr>
          <w:sz w:val="20"/>
        </w:rPr>
      </w:pPr>
      <w:r w:rsidRPr="00561325">
        <w:rPr>
          <w:sz w:val="20"/>
          <w:lang w:val="de-DE"/>
        </w:rPr>
        <w:t xml:space="preserve">Desai, A., Rybina, S., Müller-Reichert, T., Shevchenko, A., Shevchenko, A., Hyman, A., and Oegema, K. (2003). </w:t>
      </w:r>
      <w:r w:rsidRPr="00561325">
        <w:rPr>
          <w:sz w:val="20"/>
        </w:rPr>
        <w:t>Genes &amp; Dev. 17: 2421–2435. doi:10.1101/gad.1126303</w:t>
      </w:r>
    </w:p>
    <w:p w14:paraId="3812E544" w14:textId="77777777" w:rsidR="004D74C9" w:rsidRDefault="004D74C9" w:rsidP="004D74C9">
      <w:pPr>
        <w:autoSpaceDE/>
        <w:autoSpaceDN/>
        <w:rPr>
          <w:sz w:val="20"/>
        </w:rPr>
      </w:pPr>
    </w:p>
    <w:p w14:paraId="72C07A5B" w14:textId="06B51A3A" w:rsidR="00493FA0" w:rsidRDefault="00493FA0" w:rsidP="00493FA0">
      <w:pPr>
        <w:jc w:val="both"/>
        <w:rPr>
          <w:szCs w:val="22"/>
        </w:rPr>
      </w:pPr>
      <w:r w:rsidRPr="008D3BD0">
        <w:rPr>
          <w:szCs w:val="22"/>
        </w:rPr>
        <w:t xml:space="preserve">Hyman moved to Dresden to be a founding director of the Max Planck Institute for Cell Biology and Genetics.  There, he began to work closely with Frank Julicher and Stephan Grill on the role of physics in understanding the organization of cells.  Using a combination of biophysics and modeling, he worked extensively on the ways in which the cell polarizes its cortex in the first cell division of </w:t>
      </w:r>
      <w:r w:rsidRPr="00E91B03">
        <w:rPr>
          <w:i/>
          <w:szCs w:val="22"/>
        </w:rPr>
        <w:t>C.elegans</w:t>
      </w:r>
      <w:r w:rsidR="00FE6F42">
        <w:rPr>
          <w:szCs w:val="22"/>
        </w:rPr>
        <w:t xml:space="preserve"> (14)</w:t>
      </w:r>
      <w:r w:rsidRPr="008D3BD0">
        <w:rPr>
          <w:szCs w:val="22"/>
        </w:rPr>
        <w:t>.  By collaborating with a biophysis</w:t>
      </w:r>
      <w:r w:rsidR="00C21E7C">
        <w:rPr>
          <w:szCs w:val="22"/>
        </w:rPr>
        <w:t>is</w:t>
      </w:r>
      <w:r w:rsidRPr="008D3BD0">
        <w:rPr>
          <w:szCs w:val="22"/>
        </w:rPr>
        <w:t>t Daniel Mueller, he used atomic force microscopy to make important contributions to understanding the problem of cell size (15).</w:t>
      </w:r>
    </w:p>
    <w:p w14:paraId="12437122" w14:textId="77777777" w:rsidR="00480C9E" w:rsidRDefault="00480C9E" w:rsidP="00493FA0">
      <w:pPr>
        <w:jc w:val="both"/>
        <w:rPr>
          <w:szCs w:val="22"/>
        </w:rPr>
      </w:pPr>
    </w:p>
    <w:p w14:paraId="074DF5DC" w14:textId="77777777" w:rsidR="00480C9E" w:rsidRPr="006F3259" w:rsidRDefault="00480C9E" w:rsidP="00480C9E">
      <w:pPr>
        <w:numPr>
          <w:ilvl w:val="0"/>
          <w:numId w:val="19"/>
        </w:numPr>
        <w:tabs>
          <w:tab w:val="num" w:pos="397"/>
        </w:tabs>
        <w:autoSpaceDE/>
        <w:autoSpaceDN/>
        <w:rPr>
          <w:sz w:val="20"/>
        </w:rPr>
      </w:pPr>
      <w:r w:rsidRPr="006F3259">
        <w:rPr>
          <w:sz w:val="20"/>
        </w:rPr>
        <w:t xml:space="preserve">Goehring, NW; Trong, PK; Bois, JS; Chowdhury, D; Nicola, EM; Hyman, AA; Grill, SW. (2011). Polarization of PAR Proteins by Advective Triggering of a Pattern-Forming System. SCIENCE: </w:t>
      </w:r>
      <w:r w:rsidRPr="006F3259">
        <w:rPr>
          <w:b/>
          <w:sz w:val="20"/>
        </w:rPr>
        <w:t>334 (</w:t>
      </w:r>
      <w:r w:rsidRPr="006F3259">
        <w:rPr>
          <w:sz w:val="20"/>
        </w:rPr>
        <w:t xml:space="preserve">6059): 1137-1141 </w:t>
      </w:r>
    </w:p>
    <w:p w14:paraId="54DDBA55" w14:textId="77777777" w:rsidR="00480C9E" w:rsidRDefault="00480C9E" w:rsidP="00480C9E">
      <w:pPr>
        <w:numPr>
          <w:ilvl w:val="0"/>
          <w:numId w:val="19"/>
        </w:numPr>
        <w:autoSpaceDE/>
        <w:autoSpaceDN/>
        <w:rPr>
          <w:sz w:val="20"/>
        </w:rPr>
      </w:pPr>
      <w:r>
        <w:rPr>
          <w:sz w:val="20"/>
        </w:rPr>
        <w:t>S</w:t>
      </w:r>
      <w:r w:rsidRPr="006F3259">
        <w:rPr>
          <w:sz w:val="20"/>
        </w:rPr>
        <w:t xml:space="preserve">tewart, MP; Helenius, J; Toyoda, Y; Ramanathan, SP; Muller, DJ; Hyman, AA. (2011). Hydrostatic pressure and the actomyosin cortex drive mitotic cell rounding. Nature: </w:t>
      </w:r>
      <w:r w:rsidRPr="006F3259">
        <w:rPr>
          <w:b/>
          <w:sz w:val="20"/>
        </w:rPr>
        <w:t>469 (</w:t>
      </w:r>
      <w:r w:rsidRPr="006F3259">
        <w:rPr>
          <w:sz w:val="20"/>
        </w:rPr>
        <w:t>7329): 226-230.</w:t>
      </w:r>
    </w:p>
    <w:p w14:paraId="4057E737" w14:textId="77777777" w:rsidR="00480C9E" w:rsidRPr="008D3BD0" w:rsidRDefault="00480C9E" w:rsidP="00493FA0">
      <w:pPr>
        <w:jc w:val="both"/>
        <w:rPr>
          <w:szCs w:val="22"/>
        </w:rPr>
      </w:pPr>
    </w:p>
    <w:p w14:paraId="1D1A2BDA" w14:textId="4CF1359C" w:rsidR="00493FA0" w:rsidRDefault="00493FA0" w:rsidP="00493FA0">
      <w:pPr>
        <w:jc w:val="both"/>
        <w:rPr>
          <w:szCs w:val="22"/>
        </w:rPr>
      </w:pPr>
      <w:r w:rsidRPr="008D3BD0">
        <w:rPr>
          <w:szCs w:val="22"/>
        </w:rPr>
        <w:t xml:space="preserve">In 2009 his laboratory made a major discovery with broad implications for understanding the organization of cellular biochemistry and neurodegenerative disease.  </w:t>
      </w:r>
      <w:r w:rsidR="00444A6B">
        <w:rPr>
          <w:szCs w:val="22"/>
        </w:rPr>
        <w:t xml:space="preserve">His laboratory </w:t>
      </w:r>
      <w:r w:rsidRPr="008D3BD0">
        <w:rPr>
          <w:szCs w:val="22"/>
        </w:rPr>
        <w:t>showed that protein-RNA granules, which are ubiquitous in the animal kingdom, have surprising liquid-like properties and form by phase separation (16).   In an analogy to droplet formation in water vapour, Protein-RNA particles thus condense from the cytosol to form a membraneless liquid comp</w:t>
      </w:r>
      <w:r w:rsidR="00EB7E9B">
        <w:rPr>
          <w:szCs w:val="22"/>
        </w:rPr>
        <w:t>artments (17)</w:t>
      </w:r>
      <w:r w:rsidRPr="008D3BD0">
        <w:rPr>
          <w:szCs w:val="22"/>
        </w:rPr>
        <w:t>.</w:t>
      </w:r>
      <w:r w:rsidR="00EB7E9B">
        <w:rPr>
          <w:szCs w:val="22"/>
        </w:rPr>
        <w:t xml:space="preserve"> </w:t>
      </w:r>
      <w:r w:rsidRPr="008D3BD0">
        <w:rPr>
          <w:szCs w:val="22"/>
        </w:rPr>
        <w:t xml:space="preserve"> He then went on to show that other organelles, such as nucleoli, also behave as condensing colloids and follow similar physical principles (18).  In 2015 together with Simon Alberti, he showed that </w:t>
      </w:r>
      <w:r w:rsidR="0098799A">
        <w:rPr>
          <w:szCs w:val="22"/>
        </w:rPr>
        <w:t>a protein called</w:t>
      </w:r>
      <w:r w:rsidRPr="008D3BD0">
        <w:rPr>
          <w:szCs w:val="22"/>
        </w:rPr>
        <w:t xml:space="preserve"> FUS, which is implicated in onset of the neurodegenerative disease ALS, also form liquid like compartments (19). Importantly, </w:t>
      </w:r>
      <w:r w:rsidR="00893305">
        <w:rPr>
          <w:szCs w:val="22"/>
        </w:rPr>
        <w:t>they</w:t>
      </w:r>
      <w:r w:rsidRPr="008D3BD0">
        <w:rPr>
          <w:szCs w:val="22"/>
        </w:rPr>
        <w:t xml:space="preserve"> showed that that liquid-like FUS drops will convert into solid-like aggregates that are reminiscent of those seen in disease. This suggested that one of the driving forces for the onset of neurodegenerative disease could be aberrant liquid-solid phas</w:t>
      </w:r>
      <w:r w:rsidR="00D15A6A" w:rsidRPr="008D3BD0">
        <w:rPr>
          <w:szCs w:val="22"/>
        </w:rPr>
        <w:t xml:space="preserve">e transitions.  More recently, </w:t>
      </w:r>
      <w:r w:rsidRPr="008D3BD0">
        <w:rPr>
          <w:szCs w:val="22"/>
        </w:rPr>
        <w:t xml:space="preserve">he proposed a novel role for ATP as a hydrotrope in regulation of protein solubility, in addition to its role as an energy source and proposed that idea that a general drop in ATP levels as cells age could contribute to increased protein insolubility which is characteristic of age (20).   These discoveries have wide ranging implications for why cells degenerate with age, suggesting new theraputic measures for preventing such degeneration. </w:t>
      </w:r>
    </w:p>
    <w:p w14:paraId="57A03ACE" w14:textId="77777777" w:rsidR="00480C9E" w:rsidRDefault="00480C9E" w:rsidP="00493FA0">
      <w:pPr>
        <w:jc w:val="both"/>
        <w:rPr>
          <w:szCs w:val="22"/>
        </w:rPr>
      </w:pPr>
    </w:p>
    <w:p w14:paraId="572B872C" w14:textId="77777777" w:rsidR="00480C9E" w:rsidRDefault="00480C9E" w:rsidP="00480C9E">
      <w:pPr>
        <w:numPr>
          <w:ilvl w:val="0"/>
          <w:numId w:val="19"/>
        </w:numPr>
        <w:tabs>
          <w:tab w:val="num" w:pos="397"/>
        </w:tabs>
        <w:autoSpaceDE/>
        <w:autoSpaceDN/>
        <w:rPr>
          <w:sz w:val="20"/>
        </w:rPr>
      </w:pPr>
      <w:r w:rsidRPr="006F3259">
        <w:rPr>
          <w:sz w:val="20"/>
        </w:rPr>
        <w:t xml:space="preserve">Brangwynne, CP; Eckmann, CR; Courson, DS; Julicher F and Hyman, AA, (2009). Germline P Granules Are Liquid Droplets That Localize by Controlled Dissolution/Condensation. Science </w:t>
      </w:r>
      <w:r w:rsidRPr="006F3259">
        <w:rPr>
          <w:b/>
          <w:sz w:val="20"/>
        </w:rPr>
        <w:t>324</w:t>
      </w:r>
      <w:r w:rsidRPr="006F3259">
        <w:rPr>
          <w:sz w:val="20"/>
        </w:rPr>
        <w:t>(5935); 1729-1732.</w:t>
      </w:r>
    </w:p>
    <w:p w14:paraId="3BED7A47" w14:textId="77777777" w:rsidR="00480C9E" w:rsidRPr="006F3259" w:rsidRDefault="00480C9E" w:rsidP="00480C9E">
      <w:pPr>
        <w:numPr>
          <w:ilvl w:val="0"/>
          <w:numId w:val="19"/>
        </w:numPr>
        <w:tabs>
          <w:tab w:val="num" w:pos="397"/>
        </w:tabs>
        <w:autoSpaceDE/>
        <w:autoSpaceDN/>
        <w:rPr>
          <w:sz w:val="20"/>
        </w:rPr>
      </w:pPr>
      <w:r w:rsidRPr="006948C0">
        <w:rPr>
          <w:sz w:val="20"/>
          <w:lang w:val="de-DE"/>
        </w:rPr>
        <w:t xml:space="preserve">Hyman AA, Weber CA, Jülicher F. (2014). </w:t>
      </w:r>
      <w:r w:rsidRPr="006948C0">
        <w:rPr>
          <w:sz w:val="20"/>
        </w:rPr>
        <w:t>Liquid-liquid phase separation in biology. Annu Rev Cell Dev Biol: 30:39-58</w:t>
      </w:r>
    </w:p>
    <w:p w14:paraId="2078C0B9" w14:textId="77777777" w:rsidR="00480C9E" w:rsidRDefault="00480C9E" w:rsidP="00480C9E">
      <w:pPr>
        <w:numPr>
          <w:ilvl w:val="0"/>
          <w:numId w:val="19"/>
        </w:numPr>
        <w:autoSpaceDE/>
        <w:autoSpaceDN/>
        <w:rPr>
          <w:sz w:val="20"/>
        </w:rPr>
      </w:pPr>
      <w:r>
        <w:rPr>
          <w:sz w:val="20"/>
        </w:rPr>
        <w:t>B</w:t>
      </w:r>
      <w:r w:rsidRPr="00C33441">
        <w:rPr>
          <w:sz w:val="20"/>
        </w:rPr>
        <w:t xml:space="preserve">rangwynne, CP; Mitchison, TJ; Hyman, AA (2011). Active liquid-like behavior of nucleoli determines their size and shape in Xenopus laevis oocytes. Proceedings of the National Academy of Sciences of the United States of America: </w:t>
      </w:r>
      <w:r w:rsidRPr="00C33441">
        <w:rPr>
          <w:b/>
          <w:sz w:val="20"/>
        </w:rPr>
        <w:t>108(</w:t>
      </w:r>
      <w:r w:rsidRPr="00C33441">
        <w:rPr>
          <w:sz w:val="20"/>
        </w:rPr>
        <w:t>11): 4334-4339</w:t>
      </w:r>
    </w:p>
    <w:p w14:paraId="53864542" w14:textId="77777777" w:rsidR="00480C9E" w:rsidRPr="006948C0" w:rsidRDefault="00480C9E" w:rsidP="00480C9E">
      <w:pPr>
        <w:numPr>
          <w:ilvl w:val="0"/>
          <w:numId w:val="19"/>
        </w:numPr>
        <w:tabs>
          <w:tab w:val="num" w:pos="397"/>
        </w:tabs>
        <w:autoSpaceDE/>
        <w:autoSpaceDN/>
        <w:rPr>
          <w:sz w:val="20"/>
        </w:rPr>
      </w:pPr>
      <w:r w:rsidRPr="006948C0">
        <w:rPr>
          <w:sz w:val="20"/>
        </w:rPr>
        <w:t xml:space="preserve">Patel A, Lee HO, Maharana S, Jawerth L, Jahnel M, Saha S, Pozniakovski A, Poser I, Stoynow S, Myers E, Drechsel D, Grill S, </w:t>
      </w:r>
      <w:r>
        <w:rPr>
          <w:sz w:val="20"/>
        </w:rPr>
        <w:t>Hyman AA,</w:t>
      </w:r>
      <w:r w:rsidRPr="00917BAA">
        <w:rPr>
          <w:sz w:val="20"/>
        </w:rPr>
        <w:t xml:space="preserve"> </w:t>
      </w:r>
      <w:r w:rsidRPr="006948C0">
        <w:rPr>
          <w:sz w:val="20"/>
        </w:rPr>
        <w:t>Alberti S,  (2015). A liquid to solid phase transition of the ALS protein FUS accelerated by disease mutation. Cell: 162(5):1066-77.</w:t>
      </w:r>
    </w:p>
    <w:p w14:paraId="611BDCD3" w14:textId="4D867741" w:rsidR="00480C9E" w:rsidRPr="001F7B48" w:rsidRDefault="00480C9E" w:rsidP="00480C9E">
      <w:pPr>
        <w:numPr>
          <w:ilvl w:val="0"/>
          <w:numId w:val="19"/>
        </w:numPr>
        <w:tabs>
          <w:tab w:val="num" w:pos="397"/>
        </w:tabs>
        <w:autoSpaceDE/>
        <w:autoSpaceDN/>
        <w:rPr>
          <w:sz w:val="20"/>
          <w:lang w:val="en-GB"/>
        </w:rPr>
      </w:pPr>
      <w:r w:rsidRPr="006B3947">
        <w:rPr>
          <w:sz w:val="20"/>
          <w:lang w:val="de-DE"/>
        </w:rPr>
        <w:t xml:space="preserve">Patel, A.  Milinovska L, Saha S. Wang, J. Alberti, S. Krishnan, Y. Hyman, AA (2017).   </w:t>
      </w:r>
      <w:r w:rsidRPr="006948C0">
        <w:rPr>
          <w:sz w:val="20"/>
          <w:lang w:val="en-GB"/>
        </w:rPr>
        <w:t>ATP as a biological hydrotrope.  Science</w:t>
      </w:r>
      <w:r>
        <w:rPr>
          <w:sz w:val="20"/>
          <w:lang w:val="en-GB"/>
        </w:rPr>
        <w:t xml:space="preserve"> </w:t>
      </w:r>
      <w:r w:rsidRPr="006948C0">
        <w:rPr>
          <w:sz w:val="20"/>
        </w:rPr>
        <w:t>May 19;356(6339):753-756</w:t>
      </w:r>
    </w:p>
    <w:p w14:paraId="1D0329A0" w14:textId="77777777" w:rsidR="001F7B48" w:rsidRPr="00BC6DF2" w:rsidRDefault="001F7B48" w:rsidP="001F7B48">
      <w:pPr>
        <w:numPr>
          <w:ilvl w:val="0"/>
          <w:numId w:val="19"/>
        </w:numPr>
        <w:tabs>
          <w:tab w:val="num" w:pos="397"/>
          <w:tab w:val="num" w:pos="720"/>
        </w:tabs>
        <w:autoSpaceDE/>
        <w:autoSpaceDN/>
        <w:rPr>
          <w:sz w:val="20"/>
        </w:rPr>
      </w:pPr>
      <w:r w:rsidRPr="00BC6DF2">
        <w:rPr>
          <w:sz w:val="20"/>
        </w:rPr>
        <w:t>Banani, S.F., Lee, H.O., Hyman, A.A.*, Rosen, M.K.* Biomolecular condensates: organizers of cellular biochemistry. </w:t>
      </w:r>
      <w:r w:rsidRPr="00BC6DF2">
        <w:rPr>
          <w:i/>
          <w:iCs/>
          <w:sz w:val="20"/>
        </w:rPr>
        <w:t>Nat Rev Mol Cell Biol</w:t>
      </w:r>
      <w:r w:rsidRPr="00BC6DF2">
        <w:rPr>
          <w:sz w:val="20"/>
        </w:rPr>
        <w:t> (2017). DOI: 10.1038/nrm.2017.7 </w:t>
      </w:r>
    </w:p>
    <w:p w14:paraId="2037C957" w14:textId="77777777" w:rsidR="001F7B48" w:rsidRPr="00BC6DF2" w:rsidRDefault="001F7B48" w:rsidP="001F7B48">
      <w:pPr>
        <w:numPr>
          <w:ilvl w:val="0"/>
          <w:numId w:val="19"/>
        </w:numPr>
        <w:tabs>
          <w:tab w:val="num" w:pos="397"/>
          <w:tab w:val="num" w:pos="720"/>
        </w:tabs>
        <w:autoSpaceDE/>
        <w:autoSpaceDN/>
        <w:rPr>
          <w:sz w:val="20"/>
        </w:rPr>
      </w:pPr>
      <w:r w:rsidRPr="00BC6DF2">
        <w:rPr>
          <w:sz w:val="20"/>
        </w:rPr>
        <w:t>Wang, J., Choi, J-M., Holehouse, AS., Lee, HO., Zhang, X., Jahnel, M., Maharana, S. Lemaitre, R., Pozniakovsky, A., Drechsel, D., Poser, I., Pappu, RV., Alberti, S.</w:t>
      </w:r>
      <w:r w:rsidRPr="00BC6DF2">
        <w:rPr>
          <w:sz w:val="20"/>
          <w:vertAlign w:val="superscript"/>
        </w:rPr>
        <w:t>*</w:t>
      </w:r>
      <w:r w:rsidRPr="00BC6DF2">
        <w:rPr>
          <w:sz w:val="20"/>
        </w:rPr>
        <w:t>, Hyman, A.A.* A molecular grammar governing the driving forces for phase separation of prion-like RNA binding proteins.  </w:t>
      </w:r>
      <w:r w:rsidRPr="00BC6DF2">
        <w:rPr>
          <w:i/>
          <w:iCs/>
          <w:sz w:val="20"/>
        </w:rPr>
        <w:t>Cell</w:t>
      </w:r>
      <w:r w:rsidRPr="00BC6DF2">
        <w:rPr>
          <w:sz w:val="20"/>
        </w:rPr>
        <w:t> </w:t>
      </w:r>
      <w:r w:rsidRPr="00BC6DF2">
        <w:rPr>
          <w:b/>
          <w:bCs/>
          <w:sz w:val="20"/>
        </w:rPr>
        <w:t>174</w:t>
      </w:r>
      <w:r w:rsidRPr="00BC6DF2">
        <w:rPr>
          <w:sz w:val="20"/>
        </w:rPr>
        <w:t>(3):688-69 (2018). DOI: 10.1016/j.cell.2018.06.006 </w:t>
      </w:r>
      <w:r>
        <w:rPr>
          <w:b/>
          <w:bCs/>
          <w:i/>
          <w:iCs/>
          <w:sz w:val="20"/>
        </w:rPr>
        <w:t xml:space="preserve"> </w:t>
      </w:r>
    </w:p>
    <w:p w14:paraId="5CE2D625" w14:textId="77777777" w:rsidR="001F7B48" w:rsidRPr="00BC6DF2" w:rsidRDefault="001F7B48" w:rsidP="001F7B48">
      <w:pPr>
        <w:numPr>
          <w:ilvl w:val="0"/>
          <w:numId w:val="19"/>
        </w:numPr>
        <w:tabs>
          <w:tab w:val="num" w:pos="397"/>
          <w:tab w:val="num" w:pos="720"/>
        </w:tabs>
        <w:autoSpaceDE/>
        <w:autoSpaceDN/>
        <w:rPr>
          <w:sz w:val="20"/>
        </w:rPr>
      </w:pPr>
      <w:r w:rsidRPr="00BC6DF2">
        <w:rPr>
          <w:sz w:val="20"/>
        </w:rPr>
        <w:t>Jawerth, L., Fischer-Friedrich, E., Saha, S., Wang, J., Franzmann, T., Zhang, X., Sachweh, J., Ruer, M., Ijavi, M., Saha, S., Mahamid, J., Hyman, A.A.*, Jülicher, F.* Protein condensates as aging Maxwell fluids. </w:t>
      </w:r>
      <w:r w:rsidRPr="00BC6DF2">
        <w:rPr>
          <w:i/>
          <w:iCs/>
          <w:sz w:val="20"/>
        </w:rPr>
        <w:t>Science</w:t>
      </w:r>
      <w:r w:rsidRPr="00BC6DF2">
        <w:rPr>
          <w:sz w:val="20"/>
        </w:rPr>
        <w:t> </w:t>
      </w:r>
      <w:r w:rsidRPr="00BC6DF2">
        <w:rPr>
          <w:b/>
          <w:bCs/>
          <w:sz w:val="20"/>
        </w:rPr>
        <w:t>370</w:t>
      </w:r>
      <w:r w:rsidRPr="00BC6DF2">
        <w:rPr>
          <w:sz w:val="20"/>
        </w:rPr>
        <w:t>(6522):1317-1323 (2020). DOI: 10.1126/science.aaw4951</w:t>
      </w:r>
    </w:p>
    <w:p w14:paraId="3C101080" w14:textId="77777777" w:rsidR="001F7B48" w:rsidRPr="00BC6DF2" w:rsidRDefault="001F7B48" w:rsidP="001F7B48">
      <w:pPr>
        <w:numPr>
          <w:ilvl w:val="0"/>
          <w:numId w:val="19"/>
        </w:numPr>
        <w:tabs>
          <w:tab w:val="num" w:pos="397"/>
          <w:tab w:val="num" w:pos="720"/>
        </w:tabs>
        <w:autoSpaceDE/>
        <w:autoSpaceDN/>
        <w:rPr>
          <w:sz w:val="20"/>
        </w:rPr>
      </w:pPr>
      <w:r w:rsidRPr="00BC6DF2">
        <w:rPr>
          <w:sz w:val="20"/>
        </w:rPr>
        <w:lastRenderedPageBreak/>
        <w:t>Alberti, S., Hyman, A.A. Biomolecular condensates at the nexus of cellular stress, protein aggregation disease and ageing. </w:t>
      </w:r>
      <w:r w:rsidRPr="00BC6DF2">
        <w:rPr>
          <w:i/>
          <w:iCs/>
          <w:sz w:val="20"/>
        </w:rPr>
        <w:t>Nat Rev Mol Cell Biol</w:t>
      </w:r>
      <w:r w:rsidRPr="00BC6DF2">
        <w:rPr>
          <w:sz w:val="20"/>
        </w:rPr>
        <w:t> </w:t>
      </w:r>
      <w:r w:rsidRPr="00BC6DF2">
        <w:rPr>
          <w:b/>
          <w:bCs/>
          <w:sz w:val="20"/>
        </w:rPr>
        <w:t>22</w:t>
      </w:r>
      <w:r w:rsidRPr="00BC6DF2">
        <w:rPr>
          <w:sz w:val="20"/>
        </w:rPr>
        <w:t>, 196–213 (2021). DOI: 10.1038/s41580-020-00326-6</w:t>
      </w:r>
    </w:p>
    <w:p w14:paraId="78923B8B" w14:textId="4F9EE86D" w:rsidR="001F7B48" w:rsidRPr="001F7B48" w:rsidRDefault="001F7B48" w:rsidP="001F7B48">
      <w:pPr>
        <w:numPr>
          <w:ilvl w:val="0"/>
          <w:numId w:val="19"/>
        </w:numPr>
        <w:tabs>
          <w:tab w:val="num" w:pos="397"/>
          <w:tab w:val="num" w:pos="720"/>
        </w:tabs>
        <w:autoSpaceDE/>
        <w:autoSpaceDN/>
        <w:rPr>
          <w:sz w:val="20"/>
        </w:rPr>
      </w:pPr>
      <w:r w:rsidRPr="00BC6DF2">
        <w:rPr>
          <w:sz w:val="20"/>
        </w:rPr>
        <w:t>Uechi, H., Sridharan, S., Nijssen, J. </w:t>
      </w:r>
      <w:r w:rsidRPr="00BC6DF2">
        <w:rPr>
          <w:i/>
          <w:iCs/>
          <w:sz w:val="20"/>
        </w:rPr>
        <w:t>et al.</w:t>
      </w:r>
      <w:r w:rsidRPr="00BC6DF2">
        <w:rPr>
          <w:sz w:val="20"/>
        </w:rPr>
        <w:t> Small-molecule dissolution of stress granules by redox modulation benefits ALS models. </w:t>
      </w:r>
      <w:r w:rsidRPr="00BC6DF2">
        <w:rPr>
          <w:i/>
          <w:iCs/>
          <w:sz w:val="20"/>
        </w:rPr>
        <w:t>Nat Chem Biol</w:t>
      </w:r>
      <w:r w:rsidRPr="00BC6DF2">
        <w:rPr>
          <w:sz w:val="20"/>
        </w:rPr>
        <w:t> (2025). DOI: 10.1038/s41589-025-01893-5</w:t>
      </w:r>
    </w:p>
    <w:p w14:paraId="74E83D32" w14:textId="0422519B" w:rsidR="00BC6DF2" w:rsidRPr="00BC6DF2" w:rsidRDefault="00BC6DF2" w:rsidP="00BC6DF2">
      <w:pPr>
        <w:numPr>
          <w:ilvl w:val="0"/>
          <w:numId w:val="19"/>
        </w:numPr>
        <w:tabs>
          <w:tab w:val="num" w:pos="397"/>
          <w:tab w:val="num" w:pos="720"/>
        </w:tabs>
        <w:autoSpaceDE/>
        <w:autoSpaceDN/>
        <w:rPr>
          <w:sz w:val="20"/>
        </w:rPr>
      </w:pPr>
      <w:r w:rsidRPr="00BC6DF2">
        <w:rPr>
          <w:sz w:val="20"/>
        </w:rPr>
        <w:t>Yan, X., Kuster, D., Mohanty, P., Nijssen, J., Pombo-García, K., Rizuan, A., Franzmann, T.M., Sergeeva, A., Passos, P.M., George, L., Wang, S.H., Shenoy, J., Danielson, H.L., Honigmann, A., Ayala, Y.M., Fawzi, N.L., Mittal, J., Alberti, S., Hyman, A.A. Intra-condensate demixing of TDP</w:t>
      </w:r>
      <w:r>
        <w:rPr>
          <w:sz w:val="20"/>
        </w:rPr>
        <w:t>-</w:t>
      </w:r>
      <w:r w:rsidRPr="00BC6DF2">
        <w:rPr>
          <w:sz w:val="20"/>
        </w:rPr>
        <w:t>43 inside stress granules generates pathological aggregates. </w:t>
      </w:r>
      <w:r w:rsidRPr="00BC6DF2">
        <w:rPr>
          <w:i/>
          <w:iCs/>
          <w:sz w:val="20"/>
        </w:rPr>
        <w:t>Cell</w:t>
      </w:r>
      <w:r w:rsidRPr="00BC6DF2">
        <w:rPr>
          <w:sz w:val="20"/>
        </w:rPr>
        <w:t> </w:t>
      </w:r>
      <w:r w:rsidRPr="00BC6DF2">
        <w:rPr>
          <w:b/>
          <w:bCs/>
          <w:sz w:val="20"/>
        </w:rPr>
        <w:t>188</w:t>
      </w:r>
      <w:r w:rsidRPr="00BC6DF2">
        <w:rPr>
          <w:sz w:val="20"/>
        </w:rPr>
        <w:t>(15):4123-4140.e18 (2025). DOI: 10.1016/j.cell.2025.04.039. </w:t>
      </w:r>
    </w:p>
    <w:p w14:paraId="38FCD95D" w14:textId="77777777" w:rsidR="00480C9E" w:rsidRPr="008D3BD0" w:rsidRDefault="00480C9E" w:rsidP="00493FA0">
      <w:pPr>
        <w:jc w:val="both"/>
        <w:rPr>
          <w:szCs w:val="22"/>
        </w:rPr>
      </w:pPr>
    </w:p>
    <w:p w14:paraId="77A1187D" w14:textId="6E0E91EA" w:rsidR="00493FA0" w:rsidRDefault="00493FA0" w:rsidP="00493FA0">
      <w:pPr>
        <w:jc w:val="both"/>
        <w:rPr>
          <w:szCs w:val="22"/>
        </w:rPr>
      </w:pPr>
      <w:r w:rsidRPr="008D3BD0">
        <w:rPr>
          <w:szCs w:val="22"/>
        </w:rPr>
        <w:t>Beyond his scientific accomplishments, Hyman was a key member of the team of four scientists who established a new institute for cell and developmental biology in Dresden. This notable addition to the European scientific scene is already well known for its positive working environment for young scientists, and Hyman is very active in issues of career development for young scientists,</w:t>
      </w:r>
      <w:r w:rsidR="00083269">
        <w:rPr>
          <w:szCs w:val="22"/>
        </w:rPr>
        <w:t xml:space="preserve"> for instance through his participation in the </w:t>
      </w:r>
      <w:r w:rsidR="00B3365B">
        <w:rPr>
          <w:szCs w:val="22"/>
        </w:rPr>
        <w:t xml:space="preserve">committee for </w:t>
      </w:r>
      <w:r w:rsidR="00083269">
        <w:rPr>
          <w:szCs w:val="22"/>
        </w:rPr>
        <w:t>Rescuing Biomedical Research</w:t>
      </w:r>
      <w:r w:rsidR="00CF375B">
        <w:rPr>
          <w:szCs w:val="22"/>
        </w:rPr>
        <w:t>.</w:t>
      </w:r>
      <w:r w:rsidR="00083269">
        <w:rPr>
          <w:szCs w:val="22"/>
        </w:rPr>
        <w:t xml:space="preserve"> </w:t>
      </w:r>
    </w:p>
    <w:p w14:paraId="29996618" w14:textId="77777777" w:rsidR="00025DA4" w:rsidRPr="008D3BD0" w:rsidRDefault="00025DA4" w:rsidP="00493FA0">
      <w:pPr>
        <w:jc w:val="both"/>
        <w:rPr>
          <w:szCs w:val="22"/>
        </w:rPr>
      </w:pPr>
    </w:p>
    <w:p w14:paraId="6E6D8D8B" w14:textId="77777777" w:rsidR="00493FA0" w:rsidRPr="00F87C4D" w:rsidRDefault="00493FA0" w:rsidP="00493FA0">
      <w:pPr>
        <w:rPr>
          <w:sz w:val="20"/>
        </w:rPr>
      </w:pPr>
    </w:p>
    <w:p w14:paraId="653B06B7" w14:textId="77777777" w:rsidR="00493FA0" w:rsidRPr="00E95EE8" w:rsidRDefault="00493FA0" w:rsidP="00493FA0">
      <w:r w:rsidRPr="00A128A0">
        <w:rPr>
          <w:rStyle w:val="Strong"/>
        </w:rPr>
        <w:t>D.</w:t>
      </w:r>
      <w:r w:rsidRPr="00A128A0">
        <w:rPr>
          <w:rStyle w:val="Strong"/>
        </w:rPr>
        <w:tab/>
        <w:t>Additional Information: Research Support and/or Scholastic Performance</w:t>
      </w:r>
      <w:r w:rsidRPr="00E95EE8">
        <w:t xml:space="preserve"> </w:t>
      </w:r>
    </w:p>
    <w:p w14:paraId="247D803C" w14:textId="77777777" w:rsidR="00493FA0" w:rsidRDefault="00493FA0" w:rsidP="00493FA0">
      <w:pPr>
        <w:pStyle w:val="DataField11pt-Single"/>
        <w:rPr>
          <w:rStyle w:val="Strong"/>
          <w:b w:val="0"/>
        </w:rPr>
      </w:pPr>
    </w:p>
    <w:p w14:paraId="7DAD4AE5" w14:textId="085FBEFE" w:rsidR="00493FA0" w:rsidRPr="00E03323" w:rsidRDefault="00493FA0" w:rsidP="00493FA0">
      <w:pPr>
        <w:pStyle w:val="DataField11pt-Single"/>
        <w:rPr>
          <w:rStyle w:val="Strong"/>
          <w:b w:val="0"/>
        </w:rPr>
      </w:pPr>
      <w:r>
        <w:rPr>
          <w:rStyle w:val="Strong"/>
          <w:b w:val="0"/>
        </w:rPr>
        <w:t xml:space="preserve">Funding: Direct </w:t>
      </w:r>
      <w:r w:rsidR="00D519F4">
        <w:rPr>
          <w:rStyle w:val="Strong"/>
          <w:b w:val="0"/>
        </w:rPr>
        <w:t>support</w:t>
      </w:r>
      <w:r>
        <w:rPr>
          <w:rStyle w:val="Strong"/>
          <w:b w:val="0"/>
        </w:rPr>
        <w:t xml:space="preserve"> through the Max Planck Society</w:t>
      </w:r>
      <w:r w:rsidR="00D519F4">
        <w:rPr>
          <w:rStyle w:val="Strong"/>
          <w:b w:val="0"/>
        </w:rPr>
        <w:t>. Grants through the DFG, Welcome Trust</w:t>
      </w:r>
      <w:r w:rsidR="0056665E">
        <w:rPr>
          <w:rStyle w:val="Strong"/>
          <w:b w:val="0"/>
        </w:rPr>
        <w:t>, Nomis foundation.</w:t>
      </w:r>
    </w:p>
    <w:p w14:paraId="113B5CA0" w14:textId="77777777" w:rsidR="00493FA0" w:rsidRPr="00A128A0" w:rsidRDefault="00493FA0" w:rsidP="002C51BC">
      <w:pPr>
        <w:pStyle w:val="DataField11pt-Single"/>
        <w:rPr>
          <w:rStyle w:val="Strong"/>
        </w:rPr>
      </w:pPr>
    </w:p>
    <w:p w14:paraId="5CE1EAD0" w14:textId="77777777" w:rsidR="002C51BC" w:rsidRPr="00A128A0" w:rsidRDefault="002C51BC" w:rsidP="002C51BC">
      <w:pPr>
        <w:pStyle w:val="DataField11pt-Single"/>
        <w:rPr>
          <w:rStyle w:val="Strong"/>
        </w:rPr>
      </w:pPr>
    </w:p>
    <w:p w14:paraId="5BB8C337" w14:textId="5A12EB31" w:rsidR="00FC5F9E" w:rsidRPr="00E03323" w:rsidRDefault="00FC5F9E" w:rsidP="005C2CF8">
      <w:pPr>
        <w:pStyle w:val="DataField11pt-Single"/>
        <w:rPr>
          <w:rStyle w:val="Strong"/>
          <w:b w:val="0"/>
        </w:rPr>
      </w:pPr>
    </w:p>
    <w:sectPr w:rsidR="00FC5F9E" w:rsidRPr="00E03323"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6B591" w14:textId="77777777" w:rsidR="00C84C3D" w:rsidRDefault="00C84C3D">
      <w:r>
        <w:separator/>
      </w:r>
    </w:p>
  </w:endnote>
  <w:endnote w:type="continuationSeparator" w:id="0">
    <w:p w14:paraId="7CD2670A" w14:textId="77777777" w:rsidR="00C84C3D" w:rsidRDefault="00C8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QuadraatSans-Regular">
    <w:altName w:val="Calibri"/>
    <w:panose1 w:val="020B0604020202020204"/>
    <w:charset w:val="00"/>
    <w:family w:val="auto"/>
    <w:notTrueType/>
    <w:pitch w:val="variable"/>
    <w:sig w:usb0="00000003" w:usb1="00000000" w:usb2="00000000" w:usb3="00000000" w:csb0="00000001" w:csb1="00000000"/>
  </w:font>
  <w:font w:name="ヒラギノ角ゴ Pro W3">
    <w:panose1 w:val="020B0604020202020204"/>
    <w:charset w:val="80"/>
    <w:family w:val="swiss"/>
    <w:pitch w:val="variable"/>
    <w:sig w:usb0="E00002FF" w:usb1="7AC7FFFF" w:usb2="00000012" w:usb3="00000000" w:csb0="0002000D"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0FF8" w14:textId="77777777" w:rsidR="00C84C3D" w:rsidRDefault="00C84C3D">
      <w:r>
        <w:separator/>
      </w:r>
    </w:p>
  </w:footnote>
  <w:footnote w:type="continuationSeparator" w:id="0">
    <w:p w14:paraId="51250C73" w14:textId="77777777" w:rsidR="00C84C3D" w:rsidRDefault="00C84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1255" w14:textId="4BE79BB4" w:rsidR="00E127A1" w:rsidRDefault="00E1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13A303CC"/>
    <w:multiLevelType w:val="hybridMultilevel"/>
    <w:tmpl w:val="8924CD1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11A48"/>
    <w:multiLevelType w:val="multilevel"/>
    <w:tmpl w:val="DFD0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16cid:durableId="1922908785">
    <w:abstractNumId w:val="9"/>
  </w:num>
  <w:num w:numId="2" w16cid:durableId="1439254650">
    <w:abstractNumId w:val="7"/>
  </w:num>
  <w:num w:numId="3" w16cid:durableId="1103652801">
    <w:abstractNumId w:val="6"/>
  </w:num>
  <w:num w:numId="4" w16cid:durableId="27073256">
    <w:abstractNumId w:val="5"/>
  </w:num>
  <w:num w:numId="5" w16cid:durableId="1785685752">
    <w:abstractNumId w:val="4"/>
  </w:num>
  <w:num w:numId="6" w16cid:durableId="934051107">
    <w:abstractNumId w:val="8"/>
  </w:num>
  <w:num w:numId="7" w16cid:durableId="1942833207">
    <w:abstractNumId w:val="3"/>
  </w:num>
  <w:num w:numId="8" w16cid:durableId="491680129">
    <w:abstractNumId w:val="2"/>
  </w:num>
  <w:num w:numId="9" w16cid:durableId="859120573">
    <w:abstractNumId w:val="1"/>
  </w:num>
  <w:num w:numId="10" w16cid:durableId="814685125">
    <w:abstractNumId w:val="0"/>
  </w:num>
  <w:num w:numId="11" w16cid:durableId="657880511">
    <w:abstractNumId w:val="0"/>
  </w:num>
  <w:num w:numId="12" w16cid:durableId="431048566">
    <w:abstractNumId w:val="14"/>
  </w:num>
  <w:num w:numId="13" w16cid:durableId="49964948">
    <w:abstractNumId w:val="11"/>
  </w:num>
  <w:num w:numId="14" w16cid:durableId="596403239">
    <w:abstractNumId w:val="18"/>
  </w:num>
  <w:num w:numId="15" w16cid:durableId="326637157">
    <w:abstractNumId w:val="15"/>
  </w:num>
  <w:num w:numId="16" w16cid:durableId="1342046561">
    <w:abstractNumId w:val="17"/>
  </w:num>
  <w:num w:numId="17" w16cid:durableId="1711610303">
    <w:abstractNumId w:val="10"/>
  </w:num>
  <w:num w:numId="18" w16cid:durableId="594946631">
    <w:abstractNumId w:val="13"/>
  </w:num>
  <w:num w:numId="19" w16cid:durableId="1606569930">
    <w:abstractNumId w:val="12"/>
  </w:num>
  <w:num w:numId="20" w16cid:durableId="4182590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07D57"/>
    <w:rsid w:val="00023A7A"/>
    <w:rsid w:val="00025DA4"/>
    <w:rsid w:val="00047F93"/>
    <w:rsid w:val="00057427"/>
    <w:rsid w:val="00067621"/>
    <w:rsid w:val="00083269"/>
    <w:rsid w:val="00084466"/>
    <w:rsid w:val="000B5C92"/>
    <w:rsid w:val="000B5D26"/>
    <w:rsid w:val="000E3BEC"/>
    <w:rsid w:val="000F7236"/>
    <w:rsid w:val="000F74D7"/>
    <w:rsid w:val="00122EB3"/>
    <w:rsid w:val="001323BC"/>
    <w:rsid w:val="00132CA6"/>
    <w:rsid w:val="0014571A"/>
    <w:rsid w:val="00147B92"/>
    <w:rsid w:val="00170D87"/>
    <w:rsid w:val="00177D49"/>
    <w:rsid w:val="00183022"/>
    <w:rsid w:val="001C065C"/>
    <w:rsid w:val="001D59B5"/>
    <w:rsid w:val="001D6330"/>
    <w:rsid w:val="001F7B48"/>
    <w:rsid w:val="00211730"/>
    <w:rsid w:val="00213EA7"/>
    <w:rsid w:val="002506F6"/>
    <w:rsid w:val="00277067"/>
    <w:rsid w:val="0028051C"/>
    <w:rsid w:val="002A70D9"/>
    <w:rsid w:val="002B7443"/>
    <w:rsid w:val="002C4808"/>
    <w:rsid w:val="002C51BC"/>
    <w:rsid w:val="002C6400"/>
    <w:rsid w:val="002D7520"/>
    <w:rsid w:val="002E2CA2"/>
    <w:rsid w:val="002E5125"/>
    <w:rsid w:val="002F0545"/>
    <w:rsid w:val="00307C9E"/>
    <w:rsid w:val="00321A19"/>
    <w:rsid w:val="0032454D"/>
    <w:rsid w:val="00340873"/>
    <w:rsid w:val="0035045F"/>
    <w:rsid w:val="003548F2"/>
    <w:rsid w:val="003567C7"/>
    <w:rsid w:val="0037667F"/>
    <w:rsid w:val="00382AB6"/>
    <w:rsid w:val="00383712"/>
    <w:rsid w:val="003B3161"/>
    <w:rsid w:val="003C2647"/>
    <w:rsid w:val="003C3CA5"/>
    <w:rsid w:val="003C62D6"/>
    <w:rsid w:val="003C7B83"/>
    <w:rsid w:val="003D2399"/>
    <w:rsid w:val="003E4A92"/>
    <w:rsid w:val="003F6A45"/>
    <w:rsid w:val="0040289D"/>
    <w:rsid w:val="00432346"/>
    <w:rsid w:val="00444A6B"/>
    <w:rsid w:val="00447F3A"/>
    <w:rsid w:val="00466E8B"/>
    <w:rsid w:val="004759D9"/>
    <w:rsid w:val="00480C9E"/>
    <w:rsid w:val="00481D2E"/>
    <w:rsid w:val="004879C2"/>
    <w:rsid w:val="0049068A"/>
    <w:rsid w:val="00493D23"/>
    <w:rsid w:val="00493FA0"/>
    <w:rsid w:val="004A3FC8"/>
    <w:rsid w:val="004D74C9"/>
    <w:rsid w:val="004F0196"/>
    <w:rsid w:val="00503B57"/>
    <w:rsid w:val="005145BB"/>
    <w:rsid w:val="00517BFD"/>
    <w:rsid w:val="00522C9B"/>
    <w:rsid w:val="0054471F"/>
    <w:rsid w:val="005461F3"/>
    <w:rsid w:val="00547118"/>
    <w:rsid w:val="00547AC9"/>
    <w:rsid w:val="00561325"/>
    <w:rsid w:val="0056665E"/>
    <w:rsid w:val="00580BEC"/>
    <w:rsid w:val="00592740"/>
    <w:rsid w:val="005A7F6F"/>
    <w:rsid w:val="005C2BDD"/>
    <w:rsid w:val="005C2CF8"/>
    <w:rsid w:val="005C47A8"/>
    <w:rsid w:val="005E406E"/>
    <w:rsid w:val="005F0B12"/>
    <w:rsid w:val="005F5F51"/>
    <w:rsid w:val="00601C69"/>
    <w:rsid w:val="00616BCC"/>
    <w:rsid w:val="00624261"/>
    <w:rsid w:val="00646AF9"/>
    <w:rsid w:val="00656AB8"/>
    <w:rsid w:val="006609B6"/>
    <w:rsid w:val="0068089C"/>
    <w:rsid w:val="0068699D"/>
    <w:rsid w:val="006A353C"/>
    <w:rsid w:val="006A56FC"/>
    <w:rsid w:val="006B2D1C"/>
    <w:rsid w:val="006B3947"/>
    <w:rsid w:val="006C1E1F"/>
    <w:rsid w:val="006D2A3D"/>
    <w:rsid w:val="006E6FB5"/>
    <w:rsid w:val="0070405A"/>
    <w:rsid w:val="007050F5"/>
    <w:rsid w:val="0071140F"/>
    <w:rsid w:val="00722C8F"/>
    <w:rsid w:val="00732377"/>
    <w:rsid w:val="007424F3"/>
    <w:rsid w:val="00763DE9"/>
    <w:rsid w:val="00781234"/>
    <w:rsid w:val="0079623E"/>
    <w:rsid w:val="007A14BB"/>
    <w:rsid w:val="007A5C11"/>
    <w:rsid w:val="007B7AF3"/>
    <w:rsid w:val="008073EB"/>
    <w:rsid w:val="00843027"/>
    <w:rsid w:val="00873917"/>
    <w:rsid w:val="00874EBC"/>
    <w:rsid w:val="0087514A"/>
    <w:rsid w:val="00890CA9"/>
    <w:rsid w:val="00893305"/>
    <w:rsid w:val="008B066B"/>
    <w:rsid w:val="008B7C15"/>
    <w:rsid w:val="008D3BD0"/>
    <w:rsid w:val="008E2509"/>
    <w:rsid w:val="008F527C"/>
    <w:rsid w:val="00917BAA"/>
    <w:rsid w:val="009211D3"/>
    <w:rsid w:val="00926245"/>
    <w:rsid w:val="00933173"/>
    <w:rsid w:val="00934124"/>
    <w:rsid w:val="00952A27"/>
    <w:rsid w:val="009729EF"/>
    <w:rsid w:val="00977FA5"/>
    <w:rsid w:val="0098799A"/>
    <w:rsid w:val="009B6268"/>
    <w:rsid w:val="009C2B95"/>
    <w:rsid w:val="009D7E97"/>
    <w:rsid w:val="009E52CA"/>
    <w:rsid w:val="009F72E5"/>
    <w:rsid w:val="00A03FFA"/>
    <w:rsid w:val="00A04942"/>
    <w:rsid w:val="00A04B52"/>
    <w:rsid w:val="00A07D0E"/>
    <w:rsid w:val="00A1469B"/>
    <w:rsid w:val="00A14EF5"/>
    <w:rsid w:val="00A15A4B"/>
    <w:rsid w:val="00A24C82"/>
    <w:rsid w:val="00A26D0F"/>
    <w:rsid w:val="00A363EC"/>
    <w:rsid w:val="00A42D9B"/>
    <w:rsid w:val="00A45384"/>
    <w:rsid w:val="00A50A8B"/>
    <w:rsid w:val="00A55D1D"/>
    <w:rsid w:val="00A63D7C"/>
    <w:rsid w:val="00A7514C"/>
    <w:rsid w:val="00A8122C"/>
    <w:rsid w:val="00A83312"/>
    <w:rsid w:val="00AB7C46"/>
    <w:rsid w:val="00AE41C4"/>
    <w:rsid w:val="00AF007A"/>
    <w:rsid w:val="00B203C2"/>
    <w:rsid w:val="00B3365B"/>
    <w:rsid w:val="00B359BF"/>
    <w:rsid w:val="00B622F1"/>
    <w:rsid w:val="00B6601A"/>
    <w:rsid w:val="00B95605"/>
    <w:rsid w:val="00BA169F"/>
    <w:rsid w:val="00BC6DF2"/>
    <w:rsid w:val="00BD1948"/>
    <w:rsid w:val="00C05C55"/>
    <w:rsid w:val="00C076C6"/>
    <w:rsid w:val="00C1247F"/>
    <w:rsid w:val="00C137DA"/>
    <w:rsid w:val="00C20F69"/>
    <w:rsid w:val="00C2181E"/>
    <w:rsid w:val="00C21E7C"/>
    <w:rsid w:val="00C3113F"/>
    <w:rsid w:val="00C4536F"/>
    <w:rsid w:val="00C46ADA"/>
    <w:rsid w:val="00C8438D"/>
    <w:rsid w:val="00C84C3D"/>
    <w:rsid w:val="00C85025"/>
    <w:rsid w:val="00C918BD"/>
    <w:rsid w:val="00C94E59"/>
    <w:rsid w:val="00CA680A"/>
    <w:rsid w:val="00CE088C"/>
    <w:rsid w:val="00CE0951"/>
    <w:rsid w:val="00CE4FEF"/>
    <w:rsid w:val="00CF375B"/>
    <w:rsid w:val="00CF68A2"/>
    <w:rsid w:val="00D15A6A"/>
    <w:rsid w:val="00D3779E"/>
    <w:rsid w:val="00D519F4"/>
    <w:rsid w:val="00D679E5"/>
    <w:rsid w:val="00D74388"/>
    <w:rsid w:val="00D74391"/>
    <w:rsid w:val="00D83360"/>
    <w:rsid w:val="00D86D8F"/>
    <w:rsid w:val="00DB3B87"/>
    <w:rsid w:val="00DB4ABA"/>
    <w:rsid w:val="00DB7B85"/>
    <w:rsid w:val="00DD31B4"/>
    <w:rsid w:val="00DF458E"/>
    <w:rsid w:val="00DF7645"/>
    <w:rsid w:val="00E03323"/>
    <w:rsid w:val="00E047AD"/>
    <w:rsid w:val="00E12287"/>
    <w:rsid w:val="00E127A1"/>
    <w:rsid w:val="00E20E6D"/>
    <w:rsid w:val="00E23CDF"/>
    <w:rsid w:val="00E355C2"/>
    <w:rsid w:val="00E53B95"/>
    <w:rsid w:val="00E67A05"/>
    <w:rsid w:val="00E74AB7"/>
    <w:rsid w:val="00E758D3"/>
    <w:rsid w:val="00E81FE1"/>
    <w:rsid w:val="00E86F89"/>
    <w:rsid w:val="00E90203"/>
    <w:rsid w:val="00E91B03"/>
    <w:rsid w:val="00EA0405"/>
    <w:rsid w:val="00EB0BB4"/>
    <w:rsid w:val="00EB7E9B"/>
    <w:rsid w:val="00EC2B84"/>
    <w:rsid w:val="00EC315B"/>
    <w:rsid w:val="00ED03DC"/>
    <w:rsid w:val="00ED35D7"/>
    <w:rsid w:val="00ED3E11"/>
    <w:rsid w:val="00ED61AB"/>
    <w:rsid w:val="00EF4C32"/>
    <w:rsid w:val="00EF69CD"/>
    <w:rsid w:val="00F02126"/>
    <w:rsid w:val="00F07AB3"/>
    <w:rsid w:val="00F262AB"/>
    <w:rsid w:val="00F461FD"/>
    <w:rsid w:val="00F7284D"/>
    <w:rsid w:val="00F94A2B"/>
    <w:rsid w:val="00FA00C6"/>
    <w:rsid w:val="00FB6B07"/>
    <w:rsid w:val="00FC5F9E"/>
    <w:rsid w:val="00FE10AD"/>
    <w:rsid w:val="00FE52B9"/>
    <w:rsid w:val="00FE6F42"/>
    <w:rsid w:val="00FF1D5B"/>
    <w:rsid w:val="00FF1E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customStyle="1" w:styleId="Body">
    <w:name w:val="Body"/>
    <w:rsid w:val="009729EF"/>
    <w:pPr>
      <w:spacing w:after="120" w:line="240" w:lineRule="atLeast"/>
      <w:jc w:val="both"/>
    </w:pPr>
    <w:rPr>
      <w:rFonts w:ascii="QuadraatSans-Regular" w:eastAsia="ヒラギノ角ゴ Pro W3" w:hAnsi="QuadraatSans-Regular"/>
      <w:color w:val="4D4D4D"/>
    </w:rPr>
  </w:style>
  <w:style w:type="paragraph" w:styleId="ListParagraph">
    <w:name w:val="List Paragraph"/>
    <w:basedOn w:val="Normal"/>
    <w:uiPriority w:val="34"/>
    <w:qFormat/>
    <w:rsid w:val="002C6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7EDDC2FD-BF3C-4341-B14F-675DDB213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2682</Words>
  <Characters>15291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17938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Sami Friedrich</cp:lastModifiedBy>
  <cp:revision>2</cp:revision>
  <cp:lastPrinted>2011-03-11T19:43:00Z</cp:lastPrinted>
  <dcterms:created xsi:type="dcterms:W3CDTF">2025-12-05T09:28:00Z</dcterms:created>
  <dcterms:modified xsi:type="dcterms:W3CDTF">2025-12-05T09:28:00Z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